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4343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43434"/>
          <w:spacing w:val="0"/>
          <w:kern w:val="0"/>
          <w:sz w:val="32"/>
          <w:szCs w:val="32"/>
          <w:shd w:val="clear" w:fill="FFFFFF"/>
          <w:lang w:val="en-US" w:eastAsia="zh-CN" w:bidi="ar"/>
        </w:rPr>
        <w:t>招聘岗位、人数及要求</w:t>
      </w:r>
    </w:p>
    <w:tbl>
      <w:tblPr>
        <w:tblW w:w="9225" w:type="dxa"/>
        <w:tblInd w:w="1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4"/>
        <w:gridCol w:w="1078"/>
        <w:gridCol w:w="1456"/>
        <w:gridCol w:w="473"/>
        <w:gridCol w:w="563"/>
        <w:gridCol w:w="1371"/>
        <w:gridCol w:w="938"/>
        <w:gridCol w:w="2142"/>
      </w:tblGrid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岗位或专业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4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3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工资</w:t>
            </w:r>
          </w:p>
        </w:tc>
        <w:tc>
          <w:tcPr>
            <w:tcW w:w="2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专业及要求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2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水建公司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水利工程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35周岁以内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4000元左右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水利工程专业或水利水电工程专业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2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会计专业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40周岁以内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4000元左右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会计专业，有初级以上会计职称，有5年以上财会工作经历（含2年以上总账工作经历</w:t>
            </w:r>
          </w:p>
        </w:tc>
      </w:tr>
      <w:tr>
        <w:tblPrEx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海潮污水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处理厂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环境工程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全日制本科及以上学历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35周岁以内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4000元左右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环境工程专业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44BB"/>
    <w:rsid w:val="686144B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2018-06-13T06:02:00Z</dcterms:created>
  <dc:creator>Administrator</dc:creator>
  <cp:lastModifiedBy>Administrator</cp:lastModifiedBy>
  <dcterms:modified xsi:type="dcterms:W3CDTF">2018-06-13T06:02:31Z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