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7283" w:type="dxa"/>
        <w:tblInd w:w="0" w:type="dxa"/>
        <w:tblBorders>
          <w:top w:val="none" w:color="000000" w:sz="3" w:space="0"/>
          <w:left w:val="none" w:color="000000" w:sz="3" w:space="0"/>
          <w:bottom w:val="none" w:color="000000" w:sz="3" w:space="0"/>
          <w:right w:val="none" w:color="000000" w:sz="3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728"/>
        <w:gridCol w:w="747"/>
        <w:gridCol w:w="1043"/>
        <w:gridCol w:w="3537"/>
      </w:tblGrid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b/>
                <w:sz w:val="19"/>
                <w:szCs w:val="19"/>
              </w:rPr>
              <w:t>岗位</w:t>
            </w:r>
          </w:p>
        </w:tc>
        <w:tc>
          <w:tcPr>
            <w:tcW w:w="7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sz w:val="19"/>
                <w:szCs w:val="19"/>
              </w:rPr>
              <w:t>招聘人数</w:t>
            </w:r>
          </w:p>
        </w:tc>
        <w:tc>
          <w:tcPr>
            <w:tcW w:w="7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sz w:val="19"/>
                <w:szCs w:val="19"/>
              </w:rPr>
              <w:t>开考比例</w:t>
            </w:r>
          </w:p>
        </w:tc>
        <w:tc>
          <w:tcPr>
            <w:tcW w:w="10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sz w:val="19"/>
                <w:szCs w:val="19"/>
              </w:rPr>
              <w:t>学历</w:t>
            </w:r>
          </w:p>
        </w:tc>
        <w:tc>
          <w:tcPr>
            <w:tcW w:w="35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sz w:val="19"/>
                <w:szCs w:val="19"/>
              </w:rPr>
              <w:t>专业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sz w:val="19"/>
                <w:szCs w:val="19"/>
              </w:rPr>
              <w:t>岗位</w:t>
            </w:r>
            <w:r>
              <w:rPr>
                <w:rFonts w:ascii="&amp;quot" w:hAnsi="&amp;quot" w:eastAsia="&amp;quot" w:cs="&amp;quot"/>
                <w:sz w:val="19"/>
                <w:szCs w:val="19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sz w:val="19"/>
                <w:szCs w:val="19"/>
              </w:rPr>
              <w:t>2</w:t>
            </w:r>
          </w:p>
        </w:tc>
        <w:tc>
          <w:tcPr>
            <w:tcW w:w="7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sz w:val="19"/>
                <w:szCs w:val="19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z w:val="19"/>
                <w:szCs w:val="19"/>
              </w:rPr>
              <w:t>：</w:t>
            </w:r>
            <w:r>
              <w:rPr>
                <w:rFonts w:hint="default" w:ascii="&amp;quot" w:hAnsi="&amp;quot" w:eastAsia="&amp;quot" w:cs="&amp;quot"/>
                <w:sz w:val="19"/>
                <w:szCs w:val="19"/>
              </w:rPr>
              <w:t>1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sz w:val="19"/>
                <w:szCs w:val="19"/>
              </w:rPr>
              <w:t>大学本科及以上学历，具备相应学位</w:t>
            </w:r>
          </w:p>
        </w:tc>
        <w:tc>
          <w:tcPr>
            <w:tcW w:w="3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sz w:val="19"/>
                <w:szCs w:val="19"/>
              </w:rPr>
              <w:t>给排水工程、给排水工程技术、给排水与环境工程技术、给水排水工程、给水排水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sz w:val="19"/>
                <w:szCs w:val="19"/>
              </w:rPr>
              <w:t>岗位</w:t>
            </w:r>
            <w:r>
              <w:rPr>
                <w:rFonts w:hint="default" w:ascii="&amp;quot" w:hAnsi="&amp;quot" w:eastAsia="&amp;quot" w:cs="&amp;quot"/>
                <w:sz w:val="19"/>
                <w:szCs w:val="19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sz w:val="19"/>
                <w:szCs w:val="19"/>
              </w:rPr>
              <w:t>1</w:t>
            </w:r>
          </w:p>
        </w:tc>
        <w:tc>
          <w:tcPr>
            <w:tcW w:w="7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sz w:val="19"/>
                <w:szCs w:val="19"/>
              </w:rPr>
              <w:t>市政工程、市政工程技术、道路桥梁与渡河工程、交通土建工程、桥梁与隧道工程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方正仿宋_GBK" w:hAnsi="方正仿宋_GBK" w:eastAsia="方正仿宋_GBK" w:cs="方正仿宋_GBK"/>
                <w:sz w:val="19"/>
                <w:szCs w:val="19"/>
              </w:rPr>
              <w:t>工程管理、工程造价、风景园林、风景园林学、景观学、园林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16"/>
          <w:szCs w:val="16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16"/>
          <w:szCs w:val="16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16"/>
          <w:szCs w:val="16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44" w:beforeAutospacing="0" w:after="144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44" w:beforeAutospacing="0" w:after="144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44" w:beforeAutospacing="0" w:after="144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44" w:beforeAutospacing="0" w:after="144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44" w:beforeAutospacing="0" w:after="144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44" w:beforeAutospacing="0" w:after="144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u w:val="none"/>
          <w:bdr w:val="none" w:color="auto" w:sz="0" w:space="0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F12FD"/>
    <w:rsid w:val="0D677B89"/>
    <w:rsid w:val="314F0D20"/>
    <w:rsid w:val="34F8182B"/>
    <w:rsid w:val="435F74A5"/>
    <w:rsid w:val="49D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  <w:rPr>
      <w:b/>
    </w:rPr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3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2018-02-05T09:56:38Z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