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7D" w:rsidRPr="00D4607D" w:rsidRDefault="00D4607D" w:rsidP="00D4607D">
      <w:pPr>
        <w:widowControl/>
        <w:shd w:val="clear" w:color="auto" w:fill="FAFBFB"/>
        <w:jc w:val="center"/>
        <w:outlineLvl w:val="2"/>
        <w:rPr>
          <w:rFonts w:ascii="微软雅黑" w:eastAsia="微软雅黑" w:hAnsi="微软雅黑" w:cs="宋体"/>
          <w:b/>
          <w:bCs/>
          <w:color w:val="02598E"/>
          <w:kern w:val="0"/>
          <w:sz w:val="50"/>
          <w:szCs w:val="50"/>
        </w:rPr>
      </w:pPr>
      <w:r w:rsidRPr="00D4607D">
        <w:rPr>
          <w:rFonts w:ascii="微软雅黑" w:eastAsia="微软雅黑" w:hAnsi="微软雅黑" w:cs="宋体" w:hint="eastAsia"/>
          <w:b/>
          <w:bCs/>
          <w:color w:val="02598E"/>
          <w:kern w:val="0"/>
          <w:sz w:val="50"/>
          <w:szCs w:val="50"/>
        </w:rPr>
        <w:t>江南大学2018年实验人员招聘公告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江南大学地处长三角中心城市江苏无锡，是教育部直属、国家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“211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工程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”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重点建设和一流学科建设高校。学校坚持立德树人根本任务与人才强校战略，致力于建设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“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特色鲜明的研究型大学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”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。为更好地适应学校改革发展的迫切需要，本着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“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公开平等、择优录用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”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的原则，现面向校内外公开招聘实验人员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16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名。</w:t>
      </w:r>
    </w:p>
    <w:p w:rsidR="00D4607D" w:rsidRPr="00D4607D" w:rsidRDefault="00D4607D" w:rsidP="00D4607D">
      <w:pPr>
        <w:widowControl/>
        <w:shd w:val="clear" w:color="auto" w:fill="FAFBFB"/>
        <w:spacing w:before="156" w:line="500" w:lineRule="atLeast"/>
        <w:ind w:firstLine="602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黑体" w:eastAsia="黑体" w:hAnsi="黑体" w:cs="宋体" w:hint="eastAsia"/>
          <w:b/>
          <w:bCs/>
          <w:color w:val="444444"/>
          <w:kern w:val="0"/>
          <w:sz w:val="30"/>
        </w:rPr>
        <w:t>一、应聘条件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1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．拥护党的领导，遵纪守法，具有立德树人的岗位意识与奉献精神，以及较强的交流沟通能力与文字表达能力；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2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2018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届硕士、博士毕业生（毕业证书时间为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2018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年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1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月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1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日至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2018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年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12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月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31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日）。本科（非专科起点）、硕士研究生均毕业于具有博士学位授予权的高校，且为公办全日制普通高校（不含独立二级学院）；就读于海外高校的应聘者，学位须经教育部认证；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3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．体检合格，身心健康。</w:t>
      </w:r>
    </w:p>
    <w:p w:rsidR="00D4607D" w:rsidRPr="00D4607D" w:rsidRDefault="00D4607D" w:rsidP="00D4607D">
      <w:pPr>
        <w:widowControl/>
        <w:shd w:val="clear" w:color="auto" w:fill="FAFBFB"/>
        <w:spacing w:before="156" w:line="500" w:lineRule="atLeast"/>
        <w:ind w:firstLine="602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黑体" w:eastAsia="黑体" w:hAnsi="黑体" w:cs="宋体" w:hint="eastAsia"/>
          <w:b/>
          <w:bCs/>
          <w:color w:val="444444"/>
          <w:kern w:val="0"/>
          <w:sz w:val="30"/>
        </w:rPr>
        <w:t>二、用人方式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1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．硕士毕业生按照人事代理方式进校（依据有关政策，参照在编人员享受薪资待遇）；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2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．博士毕业生按照事业聘用制方式进校（聘期结束时进行考核，合格者续聘，不合格者</w:t>
      </w:r>
      <w:proofErr w:type="gramStart"/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不</w:t>
      </w:r>
      <w:proofErr w:type="gramEnd"/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续聘）。</w:t>
      </w:r>
    </w:p>
    <w:p w:rsidR="00D4607D" w:rsidRPr="00D4607D" w:rsidRDefault="00D4607D" w:rsidP="00D4607D">
      <w:pPr>
        <w:widowControl/>
        <w:shd w:val="clear" w:color="auto" w:fill="FAFBFB"/>
        <w:spacing w:before="156" w:line="500" w:lineRule="atLeast"/>
        <w:ind w:firstLine="602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黑体" w:eastAsia="黑体" w:hAnsi="黑体" w:cs="宋体" w:hint="eastAsia"/>
          <w:b/>
          <w:bCs/>
          <w:color w:val="444444"/>
          <w:kern w:val="0"/>
          <w:sz w:val="30"/>
        </w:rPr>
        <w:t>三、招聘岗位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23"/>
        <w:gridCol w:w="1726"/>
        <w:gridCol w:w="1723"/>
        <w:gridCol w:w="3250"/>
      </w:tblGrid>
      <w:tr w:rsidR="00D4607D" w:rsidRPr="00D4607D" w:rsidTr="00D4607D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lastRenderedPageBreak/>
              <w:t>学院（单位）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人数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3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专业等相关要求</w:t>
            </w:r>
          </w:p>
        </w:tc>
      </w:tr>
      <w:tr w:rsidR="00D4607D" w:rsidRPr="00D4607D" w:rsidTr="00D4607D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生物工程学院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硕士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发酵工程、</w:t>
            </w:r>
          </w:p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生物化学与分子生物学</w:t>
            </w:r>
          </w:p>
        </w:tc>
      </w:tr>
      <w:tr w:rsidR="00D4607D" w:rsidRPr="00D4607D" w:rsidTr="00D4607D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硕士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食品科学与工程、计算机科学相关专业，具有计算机网络系统、多媒体系统和数据库系统管理维护能力，虚拟现实相关方向毕业或有相关作品成果者优先</w:t>
            </w:r>
          </w:p>
        </w:tc>
      </w:tr>
      <w:tr w:rsidR="00D4607D" w:rsidRPr="00D4607D" w:rsidTr="00D4607D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环境与土木</w:t>
            </w:r>
          </w:p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ind w:firstLine="720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硕士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结构工程</w:t>
            </w:r>
          </w:p>
        </w:tc>
      </w:tr>
      <w:tr w:rsidR="00D4607D" w:rsidRPr="00D4607D" w:rsidTr="00D4607D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制药工程、药学</w:t>
            </w:r>
          </w:p>
        </w:tc>
      </w:tr>
      <w:tr w:rsidR="00D4607D" w:rsidRPr="00D4607D" w:rsidTr="00D4607D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化学与材料</w:t>
            </w:r>
          </w:p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硕士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化学、化工类</w:t>
            </w:r>
          </w:p>
        </w:tc>
      </w:tr>
      <w:tr w:rsidR="00D4607D" w:rsidRPr="00D4607D" w:rsidTr="00D4607D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硕士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数控加工、特种加工、</w:t>
            </w:r>
            <w:r w:rsidRPr="00D4607D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3D</w:t>
            </w: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打印</w:t>
            </w:r>
          </w:p>
        </w:tc>
      </w:tr>
      <w:tr w:rsidR="00D4607D" w:rsidRPr="00D4607D" w:rsidTr="00D4607D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硕士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护理学；医学（含动物医学）、药学；生命科学相关学科，</w:t>
            </w:r>
          </w:p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生物、食品、化工、计算机</w:t>
            </w:r>
          </w:p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（图形处理）等专业</w:t>
            </w:r>
          </w:p>
        </w:tc>
      </w:tr>
      <w:tr w:rsidR="00D4607D" w:rsidRPr="00D4607D" w:rsidTr="00D4607D"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食品科学与技术</w:t>
            </w:r>
          </w:p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国家重点实验室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分析化学、食品科学、</w:t>
            </w:r>
          </w:p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生物工程</w:t>
            </w:r>
          </w:p>
        </w:tc>
      </w:tr>
      <w:tr w:rsidR="00D4607D" w:rsidRPr="00D4607D" w:rsidTr="00D460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07D" w:rsidRPr="00D4607D" w:rsidRDefault="00D4607D" w:rsidP="00D4607D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1</w:t>
            </w: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（编辑）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ind w:firstLine="240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食品、生物相关专业</w:t>
            </w:r>
          </w:p>
        </w:tc>
      </w:tr>
      <w:tr w:rsidR="00D4607D" w:rsidRPr="00D4607D" w:rsidTr="00D4607D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国家功能食品工程技术研究中心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组织病理生理、毒理、</w:t>
            </w:r>
          </w:p>
          <w:p w:rsidR="00D4607D" w:rsidRPr="00D4607D" w:rsidRDefault="00D4607D" w:rsidP="00D4607D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35"/>
                <w:szCs w:val="35"/>
              </w:rPr>
            </w:pPr>
            <w:r w:rsidRPr="00D4607D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临床检验诊断</w:t>
            </w:r>
          </w:p>
        </w:tc>
      </w:tr>
    </w:tbl>
    <w:p w:rsidR="00D4607D" w:rsidRPr="00D4607D" w:rsidRDefault="00D4607D" w:rsidP="00D4607D">
      <w:pPr>
        <w:widowControl/>
        <w:shd w:val="clear" w:color="auto" w:fill="FAFBFB"/>
        <w:spacing w:before="156" w:line="500" w:lineRule="atLeast"/>
        <w:ind w:firstLine="602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黑体" w:eastAsia="黑体" w:hAnsi="黑体" w:cs="宋体" w:hint="eastAsia"/>
          <w:b/>
          <w:bCs/>
          <w:color w:val="444444"/>
          <w:kern w:val="0"/>
          <w:sz w:val="30"/>
        </w:rPr>
        <w:lastRenderedPageBreak/>
        <w:t>四、报名须知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1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．报名时间：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2017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年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12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月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4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日至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2017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年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12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月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30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日；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2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．报名网址：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http://hire.jiangnan.edu.cn/zpsys/index.jsp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（推荐使用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360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浏览器兼容模式或较低版本的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IE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浏览器）；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3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．网上报名时，须如实填写个人有关信息，并上传附件：</w:t>
      </w:r>
      <w:r w:rsidRPr="00D4607D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①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身份证，</w:t>
      </w:r>
      <w:r w:rsidRPr="00D4607D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②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本科毕业证书（博士应聘者需同时提供本科及研究生毕业证书），</w:t>
      </w:r>
      <w:r w:rsidRPr="00D4607D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③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学士学位证书（博士应聘者需同时提供学士及硕士学位证书），</w:t>
      </w:r>
      <w:r w:rsidRPr="00D4607D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④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毕业生就业推荐表（内容完整且清晰，加盖学校就业指导部门公章，就读于国外高校的应聘者须提供在读证明），</w:t>
      </w:r>
      <w:r w:rsidRPr="00D4607D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⑤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硕士、博士阶段成绩单，</w:t>
      </w:r>
      <w:r w:rsidRPr="00D4607D">
        <w:rPr>
          <w:rFonts w:ascii="宋体" w:eastAsia="宋体" w:hAnsi="宋体" w:cs="宋体" w:hint="eastAsia"/>
          <w:color w:val="444444"/>
          <w:kern w:val="0"/>
          <w:sz w:val="30"/>
          <w:szCs w:val="30"/>
        </w:rPr>
        <w:t>⑥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获奖证书及资格证书等（信息填写不完备、不按要求上传附件、提供虚假信息或不实附件者，取消报名资格）。</w:t>
      </w:r>
    </w:p>
    <w:p w:rsidR="00D4607D" w:rsidRPr="00D4607D" w:rsidRDefault="00D4607D" w:rsidP="00D4607D">
      <w:pPr>
        <w:widowControl/>
        <w:shd w:val="clear" w:color="auto" w:fill="FAFBFB"/>
        <w:spacing w:before="156" w:line="500" w:lineRule="atLeast"/>
        <w:ind w:firstLine="602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黑体" w:eastAsia="黑体" w:hAnsi="黑体" w:cs="宋体" w:hint="eastAsia"/>
          <w:b/>
          <w:bCs/>
          <w:color w:val="444444"/>
          <w:kern w:val="0"/>
          <w:sz w:val="30"/>
        </w:rPr>
        <w:t>五、招聘程序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1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．资格审查：学校根据应聘者情况择优确定笔试人员名单；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2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．现场确认：应聘者须携带</w:t>
      </w:r>
      <w:r w:rsidRPr="00D4607D">
        <w:rPr>
          <w:rFonts w:ascii="仿宋_GB2312" w:eastAsia="仿宋_GB2312" w:hAnsi="宋体" w:cs="宋体" w:hint="eastAsia"/>
          <w:b/>
          <w:bCs/>
          <w:color w:val="444444"/>
          <w:kern w:val="0"/>
          <w:sz w:val="30"/>
        </w:rPr>
        <w:t>身份证、毕业证书、学位证书、毕业生就业推荐表、成绩单、获奖证书及资格证书等原件及复印件各一套，并携带就业协议原件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（材料不全者不得参加笔试）；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3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．笔试：测试应聘者时政、人文、高等教育管理等相关领域的知识及科学素养；同一岗位符合条件的报考人数少于拟招聘人数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3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倍的，相应核减拟招聘岗位数或取消</w:t>
      </w:r>
      <w:proofErr w:type="gramStart"/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该岗位</w:t>
      </w:r>
      <w:proofErr w:type="gramEnd"/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招聘；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4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．体检与心理测试：通过笔试进入技能测试和面试环节者须至校医院参加体检，并参加学校组织的心理测试；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lastRenderedPageBreak/>
        <w:t>5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．技能测试和面试：根据笔试成绩，按照不超过拟招聘人数的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3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倍确定技能测试和面试人员名单，技能测试内容与招聘岗位工作相关；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综合笔试、技能测试、面试、体检等结果，由学校确定拟录用人员名单并予以公示。凡被录用者，须服从学校统一安排。</w:t>
      </w:r>
    </w:p>
    <w:p w:rsidR="00D4607D" w:rsidRPr="00D4607D" w:rsidRDefault="00D4607D" w:rsidP="00D4607D">
      <w:pPr>
        <w:widowControl/>
        <w:shd w:val="clear" w:color="auto" w:fill="FAFBFB"/>
        <w:spacing w:before="156" w:line="500" w:lineRule="atLeast"/>
        <w:ind w:firstLine="602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黑体" w:eastAsia="黑体" w:hAnsi="黑体" w:cs="宋体" w:hint="eastAsia"/>
          <w:b/>
          <w:bCs/>
          <w:color w:val="444444"/>
          <w:kern w:val="0"/>
          <w:sz w:val="30"/>
        </w:rPr>
        <w:t>六、其他事项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1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．笔试时间：</w:t>
      </w:r>
      <w:r w:rsidRPr="00D4607D">
        <w:rPr>
          <w:rFonts w:ascii="Times New Roman" w:eastAsia="宋体" w:hAnsi="Times New Roman" w:cs="Times New Roman"/>
          <w:b/>
          <w:bCs/>
          <w:color w:val="444444"/>
          <w:kern w:val="0"/>
          <w:sz w:val="30"/>
        </w:rPr>
        <w:t>2018</w:t>
      </w:r>
      <w:r w:rsidRPr="00D4607D">
        <w:rPr>
          <w:rFonts w:ascii="仿宋_GB2312" w:eastAsia="仿宋_GB2312" w:hAnsi="宋体" w:cs="宋体" w:hint="eastAsia"/>
          <w:b/>
          <w:bCs/>
          <w:color w:val="444444"/>
          <w:kern w:val="0"/>
          <w:sz w:val="30"/>
        </w:rPr>
        <w:t>年</w:t>
      </w:r>
      <w:r w:rsidRPr="00D4607D">
        <w:rPr>
          <w:rFonts w:ascii="Times New Roman" w:eastAsia="宋体" w:hAnsi="Times New Roman" w:cs="Times New Roman"/>
          <w:b/>
          <w:bCs/>
          <w:color w:val="444444"/>
          <w:kern w:val="0"/>
          <w:sz w:val="30"/>
        </w:rPr>
        <w:t>1</w:t>
      </w:r>
      <w:r w:rsidRPr="00D4607D">
        <w:rPr>
          <w:rFonts w:ascii="仿宋_GB2312" w:eastAsia="仿宋_GB2312" w:hAnsi="宋体" w:cs="宋体" w:hint="eastAsia"/>
          <w:b/>
          <w:bCs/>
          <w:color w:val="444444"/>
          <w:kern w:val="0"/>
          <w:sz w:val="30"/>
        </w:rPr>
        <w:t>月上旬，具体时间另行通知；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2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．地点：江苏省无锡市滨湖区蠡湖大道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1800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号江南大学；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60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3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．咨询方式：周老师、李老师（电话：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0510-85913966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）。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 </w:t>
      </w:r>
    </w:p>
    <w:p w:rsidR="00D4607D" w:rsidRPr="00D4607D" w:rsidRDefault="00D4607D" w:rsidP="00D4607D">
      <w:pPr>
        <w:widowControl/>
        <w:shd w:val="clear" w:color="auto" w:fill="FAFBFB"/>
        <w:wordWrap w:val="0"/>
        <w:spacing w:line="500" w:lineRule="atLeast"/>
        <w:ind w:firstLine="480"/>
        <w:jc w:val="righ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江南大学人事处</w:t>
      </w:r>
    </w:p>
    <w:p w:rsidR="00D4607D" w:rsidRPr="00D4607D" w:rsidRDefault="00D4607D" w:rsidP="00D4607D">
      <w:pPr>
        <w:widowControl/>
        <w:shd w:val="clear" w:color="auto" w:fill="FAFBFB"/>
        <w:spacing w:line="500" w:lineRule="atLeast"/>
        <w:ind w:firstLine="480"/>
        <w:jc w:val="right"/>
        <w:rPr>
          <w:rFonts w:ascii="宋体" w:eastAsia="宋体" w:hAnsi="宋体" w:cs="宋体" w:hint="eastAsia"/>
          <w:color w:val="444444"/>
          <w:kern w:val="0"/>
          <w:sz w:val="35"/>
          <w:szCs w:val="35"/>
        </w:rPr>
      </w:pP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2017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年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12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月</w:t>
      </w:r>
      <w:r w:rsidRPr="00D4607D">
        <w:rPr>
          <w:rFonts w:ascii="Times New Roman" w:eastAsia="宋体" w:hAnsi="Times New Roman" w:cs="Times New Roman"/>
          <w:color w:val="444444"/>
          <w:kern w:val="0"/>
          <w:sz w:val="30"/>
          <w:szCs w:val="30"/>
        </w:rPr>
        <w:t>4</w:t>
      </w:r>
      <w:r w:rsidRPr="00D4607D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日</w:t>
      </w:r>
    </w:p>
    <w:p w:rsidR="00AF3C1B" w:rsidRDefault="00AF3C1B"/>
    <w:sectPr w:rsidR="00AF3C1B" w:rsidSect="00AF3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B20" w:rsidRDefault="00C16B20" w:rsidP="00D4607D">
      <w:r>
        <w:separator/>
      </w:r>
    </w:p>
  </w:endnote>
  <w:endnote w:type="continuationSeparator" w:id="0">
    <w:p w:rsidR="00C16B20" w:rsidRDefault="00C16B20" w:rsidP="00D46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B20" w:rsidRDefault="00C16B20" w:rsidP="00D4607D">
      <w:r>
        <w:separator/>
      </w:r>
    </w:p>
  </w:footnote>
  <w:footnote w:type="continuationSeparator" w:id="0">
    <w:p w:rsidR="00C16B20" w:rsidRDefault="00C16B20" w:rsidP="00D46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07D"/>
    <w:rsid w:val="00AF3C1B"/>
    <w:rsid w:val="00C16B20"/>
    <w:rsid w:val="00D4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1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4607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6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60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6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607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4607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D4607D"/>
  </w:style>
  <w:style w:type="character" w:styleId="a5">
    <w:name w:val="Hyperlink"/>
    <w:basedOn w:val="a0"/>
    <w:uiPriority w:val="99"/>
    <w:semiHidden/>
    <w:unhideWhenUsed/>
    <w:rsid w:val="00D4607D"/>
    <w:rPr>
      <w:color w:val="0000FF"/>
      <w:u w:val="single"/>
    </w:rPr>
  </w:style>
  <w:style w:type="character" w:styleId="a6">
    <w:name w:val="Strong"/>
    <w:basedOn w:val="a0"/>
    <w:uiPriority w:val="22"/>
    <w:qFormat/>
    <w:rsid w:val="00D460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CCCCCC"/>
            <w:right w:val="none" w:sz="0" w:space="0" w:color="auto"/>
          </w:divBdr>
        </w:div>
        <w:div w:id="1437216289">
          <w:marLeft w:val="0"/>
          <w:marRight w:val="0"/>
          <w:marTop w:val="497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2017-12-04T16:24:00Z</dcterms:created>
  <dcterms:modified xsi:type="dcterms:W3CDTF">2017-12-04T16:25:00Z</dcterms:modified>
</cp:coreProperties>
</file>