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0"/>
        <w:jc w:val="center"/>
        <w:rPr>
          <w:rFonts w:hint="eastAsia" w:ascii="宋体" w:hAnsi="宋体" w:eastAsia="宋体" w:cs="宋体"/>
          <w:i w:val="0"/>
          <w:caps w:val="0"/>
          <w:color w:val="000000"/>
          <w:spacing w:val="0"/>
          <w:sz w:val="36"/>
          <w:szCs w:val="36"/>
        </w:rPr>
      </w:pPr>
      <w:bookmarkStart w:id="1" w:name="_GoBack"/>
      <w:r>
        <w:rPr>
          <w:rFonts w:hint="eastAsia" w:ascii="宋体" w:hAnsi="宋体" w:eastAsia="宋体" w:cs="宋体"/>
          <w:i w:val="0"/>
          <w:caps w:val="0"/>
          <w:color w:val="000000"/>
          <w:spacing w:val="0"/>
          <w:sz w:val="36"/>
          <w:szCs w:val="36"/>
          <w:bdr w:val="none" w:color="auto" w:sz="0" w:space="0"/>
        </w:rPr>
        <w:t>泰州市人民医院2016年引进高层次人才公告（第二批）</w:t>
      </w:r>
    </w:p>
    <w:bookmarkEnd w:id="1"/>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85" w:beforeAutospacing="0" w:after="0" w:afterAutospacing="0" w:line="420" w:lineRule="atLeast"/>
        <w:ind w:left="0" w:right="0" w:firstLine="645"/>
        <w:rPr>
          <w:rFonts w:hint="eastAsia" w:ascii="宋体" w:hAnsi="宋体" w:eastAsia="宋体" w:cs="宋体"/>
          <w:b w:val="0"/>
          <w:i w:val="0"/>
          <w:caps w:val="0"/>
          <w:color w:val="000000"/>
          <w:spacing w:val="0"/>
          <w:sz w:val="21"/>
          <w:szCs w:val="21"/>
        </w:rPr>
      </w:pPr>
      <w:r>
        <w:rPr>
          <w:rFonts w:ascii="方正仿宋_gbk" w:hAnsi="方正仿宋_gbk" w:eastAsia="方正仿宋_gbk" w:cs="方正仿宋_gbk"/>
          <w:b w:val="0"/>
          <w:i w:val="0"/>
          <w:caps w:val="0"/>
          <w:color w:val="000000"/>
          <w:spacing w:val="0"/>
          <w:sz w:val="31"/>
          <w:szCs w:val="31"/>
          <w:bdr w:val="none" w:color="auto" w:sz="0" w:space="0"/>
        </w:rPr>
        <w:t>为进一步加强卫生人才队伍建设，根据《泰州市市属事业单位高层次人才引进办法（试行）》（泰人社发〔2016〕48号）精神，经泰州市人力资源和社会保障局核准，泰州市人民医院决定面向市外引进高层次人才。现将有关事项公告如下：</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0"/>
        <w:rPr>
          <w:rFonts w:hint="eastAsia" w:ascii="宋体" w:hAnsi="宋体" w:eastAsia="宋体" w:cs="宋体"/>
          <w:b w:val="0"/>
          <w:i w:val="0"/>
          <w:caps w:val="0"/>
          <w:color w:val="000000"/>
          <w:spacing w:val="0"/>
          <w:sz w:val="21"/>
          <w:szCs w:val="21"/>
        </w:rPr>
      </w:pPr>
      <w:r>
        <w:rPr>
          <w:rFonts w:ascii="方正黑体_gbk" w:hAnsi="方正黑体_gbk" w:eastAsia="方正黑体_gbk" w:cs="方正黑体_gbk"/>
          <w:b w:val="0"/>
          <w:i w:val="0"/>
          <w:caps w:val="0"/>
          <w:color w:val="000000"/>
          <w:spacing w:val="0"/>
          <w:sz w:val="31"/>
          <w:szCs w:val="31"/>
          <w:bdr w:val="none" w:color="auto" w:sz="0" w:space="0"/>
        </w:rPr>
        <w:t>一、引进专业及要求</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0"/>
        <w:rPr>
          <w:rFonts w:hint="eastAsia" w:ascii="宋体" w:hAnsi="宋体" w:eastAsia="宋体" w:cs="宋体"/>
          <w:b w:val="0"/>
          <w:i w:val="0"/>
          <w:caps w:val="0"/>
          <w:color w:val="000000"/>
          <w:spacing w:val="0"/>
          <w:sz w:val="21"/>
          <w:szCs w:val="21"/>
        </w:rPr>
      </w:pPr>
      <w:r>
        <w:rPr>
          <w:rFonts w:hint="default" w:ascii="方正仿宋_gbk" w:hAnsi="方正仿宋_gbk" w:eastAsia="方正仿宋_gbk" w:cs="方正仿宋_gbk"/>
          <w:b w:val="0"/>
          <w:i w:val="0"/>
          <w:caps w:val="0"/>
          <w:color w:val="000000"/>
          <w:spacing w:val="0"/>
          <w:sz w:val="31"/>
          <w:szCs w:val="31"/>
          <w:bdr w:val="none" w:color="auto" w:sz="0" w:space="0"/>
        </w:rPr>
        <w:t>　　泰州市人民医院是泰州市卫生和计划生育委员会下属差额拨款事业单位，现面向市外引进9名高层次人才，具体岗位、专业、学历、学位等要求详见招聘计划一览表（附件1）。</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0"/>
        <w:rPr>
          <w:rFonts w:hint="eastAsia" w:ascii="宋体" w:hAnsi="宋体" w:eastAsia="宋体" w:cs="宋体"/>
          <w:b w:val="0"/>
          <w:i w:val="0"/>
          <w:caps w:val="0"/>
          <w:color w:val="000000"/>
          <w:spacing w:val="0"/>
          <w:sz w:val="21"/>
          <w:szCs w:val="21"/>
        </w:rPr>
      </w:pPr>
      <w:r>
        <w:rPr>
          <w:rFonts w:hint="default" w:ascii="方正黑体_gbk" w:hAnsi="方正黑体_gbk" w:eastAsia="方正黑体_gbk" w:cs="方正黑体_gbk"/>
          <w:b w:val="0"/>
          <w:i w:val="0"/>
          <w:caps w:val="0"/>
          <w:color w:val="000000"/>
          <w:spacing w:val="0"/>
          <w:sz w:val="31"/>
          <w:szCs w:val="31"/>
          <w:bdr w:val="none" w:color="auto" w:sz="0" w:space="0"/>
        </w:rPr>
        <w:t>　二、报考条件</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0"/>
        <w:rPr>
          <w:rFonts w:hint="eastAsia" w:ascii="宋体" w:hAnsi="宋体" w:eastAsia="宋体" w:cs="宋体"/>
          <w:b w:val="0"/>
          <w:i w:val="0"/>
          <w:caps w:val="0"/>
          <w:color w:val="000000"/>
          <w:spacing w:val="0"/>
          <w:sz w:val="21"/>
          <w:szCs w:val="21"/>
        </w:rPr>
      </w:pPr>
      <w:r>
        <w:rPr>
          <w:rFonts w:hint="default" w:ascii="方正仿宋_gbk" w:hAnsi="方正仿宋_gbk" w:eastAsia="方正仿宋_gbk" w:cs="方正仿宋_gbk"/>
          <w:b w:val="0"/>
          <w:i w:val="0"/>
          <w:caps w:val="0"/>
          <w:color w:val="000000"/>
          <w:spacing w:val="0"/>
          <w:sz w:val="31"/>
          <w:szCs w:val="31"/>
          <w:bdr w:val="none" w:color="auto" w:sz="0" w:space="0"/>
        </w:rPr>
        <w:t>　　1.具有中华人民共和国国籍。</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0"/>
        <w:rPr>
          <w:rFonts w:hint="eastAsia" w:ascii="宋体" w:hAnsi="宋体" w:eastAsia="宋体" w:cs="宋体"/>
          <w:b w:val="0"/>
          <w:i w:val="0"/>
          <w:caps w:val="0"/>
          <w:color w:val="000000"/>
          <w:spacing w:val="0"/>
          <w:sz w:val="21"/>
          <w:szCs w:val="21"/>
        </w:rPr>
      </w:pPr>
      <w:r>
        <w:rPr>
          <w:rFonts w:hint="default" w:ascii="方正仿宋_gbk" w:hAnsi="方正仿宋_gbk" w:eastAsia="方正仿宋_gbk" w:cs="方正仿宋_gbk"/>
          <w:b w:val="0"/>
          <w:i w:val="0"/>
          <w:caps w:val="0"/>
          <w:color w:val="000000"/>
          <w:spacing w:val="0"/>
          <w:sz w:val="31"/>
          <w:szCs w:val="31"/>
          <w:bdr w:val="none" w:color="auto" w:sz="0" w:space="0"/>
        </w:rPr>
        <w:t>　　2.遵纪守法，品行端正，具有良好的职业道德、适应岗位需求的专业技能水平，无违纪违法行为。</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0"/>
        <w:rPr>
          <w:rFonts w:hint="eastAsia" w:ascii="宋体" w:hAnsi="宋体" w:eastAsia="宋体" w:cs="宋体"/>
          <w:b w:val="0"/>
          <w:i w:val="0"/>
          <w:caps w:val="0"/>
          <w:color w:val="000000"/>
          <w:spacing w:val="0"/>
          <w:sz w:val="21"/>
          <w:szCs w:val="21"/>
        </w:rPr>
      </w:pPr>
      <w:r>
        <w:rPr>
          <w:rFonts w:hint="default" w:ascii="方正仿宋_gbk" w:hAnsi="方正仿宋_gbk" w:eastAsia="方正仿宋_gbk" w:cs="方正仿宋_gbk"/>
          <w:b w:val="0"/>
          <w:i w:val="0"/>
          <w:caps w:val="0"/>
          <w:color w:val="000000"/>
          <w:spacing w:val="0"/>
          <w:sz w:val="31"/>
          <w:szCs w:val="31"/>
          <w:bdr w:val="none" w:color="auto" w:sz="0" w:space="0"/>
        </w:rPr>
        <w:t>　　3.身体健康，具备正常履行岗位职责的身体条件。</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0"/>
        <w:rPr>
          <w:rFonts w:hint="eastAsia" w:ascii="宋体" w:hAnsi="宋体" w:eastAsia="宋体" w:cs="宋体"/>
          <w:b w:val="0"/>
          <w:i w:val="0"/>
          <w:caps w:val="0"/>
          <w:color w:val="000000"/>
          <w:spacing w:val="0"/>
          <w:sz w:val="21"/>
          <w:szCs w:val="21"/>
        </w:rPr>
      </w:pPr>
      <w:r>
        <w:rPr>
          <w:rFonts w:hint="default" w:ascii="方正仿宋_gbk" w:hAnsi="方正仿宋_gbk" w:eastAsia="方正仿宋_gbk" w:cs="方正仿宋_gbk"/>
          <w:b w:val="0"/>
          <w:i w:val="0"/>
          <w:caps w:val="0"/>
          <w:color w:val="000000"/>
          <w:spacing w:val="0"/>
          <w:sz w:val="31"/>
          <w:szCs w:val="31"/>
          <w:bdr w:val="none" w:color="auto" w:sz="0" w:space="0"/>
        </w:rPr>
        <w:t>　　4.硕士研究生年龄在35周岁以下（1981年1月1日以后出生），博士研究生年龄在40周岁以下（1976年1月1日以后出生）。</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0"/>
        <w:rPr>
          <w:rFonts w:hint="eastAsia" w:ascii="宋体" w:hAnsi="宋体" w:eastAsia="宋体" w:cs="宋体"/>
          <w:b w:val="0"/>
          <w:i w:val="0"/>
          <w:caps w:val="0"/>
          <w:color w:val="000000"/>
          <w:spacing w:val="0"/>
          <w:sz w:val="21"/>
          <w:szCs w:val="21"/>
        </w:rPr>
      </w:pPr>
      <w:r>
        <w:rPr>
          <w:rFonts w:hint="default" w:ascii="方正黑体_gbk" w:hAnsi="方正黑体_gbk" w:eastAsia="方正黑体_gbk" w:cs="方正黑体_gbk"/>
          <w:b w:val="0"/>
          <w:i w:val="0"/>
          <w:caps w:val="0"/>
          <w:color w:val="000000"/>
          <w:spacing w:val="0"/>
          <w:sz w:val="31"/>
          <w:szCs w:val="31"/>
          <w:bdr w:val="none" w:color="auto" w:sz="0" w:space="0"/>
        </w:rPr>
        <w:t>三、引进方式和程序</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0"/>
        <w:rPr>
          <w:rFonts w:hint="eastAsia" w:ascii="宋体" w:hAnsi="宋体" w:eastAsia="宋体" w:cs="宋体"/>
          <w:b w:val="0"/>
          <w:i w:val="0"/>
          <w:caps w:val="0"/>
          <w:color w:val="000000"/>
          <w:spacing w:val="0"/>
          <w:sz w:val="21"/>
          <w:szCs w:val="21"/>
        </w:rPr>
      </w:pPr>
      <w:r>
        <w:rPr>
          <w:rFonts w:hint="default" w:ascii="方正仿宋_gbk" w:hAnsi="方正仿宋_gbk" w:eastAsia="方正仿宋_gbk" w:cs="方正仿宋_gbk"/>
          <w:b w:val="0"/>
          <w:i w:val="0"/>
          <w:caps w:val="0"/>
          <w:color w:val="000000"/>
          <w:spacing w:val="0"/>
          <w:sz w:val="31"/>
          <w:szCs w:val="31"/>
          <w:bdr w:val="none" w:color="auto" w:sz="0" w:space="0"/>
        </w:rPr>
        <w:t>　　引进高层次人才采取公开招聘方式，在泰州市人力资源和社会保障局、泰州市卫生和计划生育委员会的指导监督下，由泰州市人民医院组织实施，按照发布招聘公告、报名与资格审查、组织考核、体检考察、公示聘用等步骤进行。</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0"/>
        <w:rPr>
          <w:rFonts w:hint="eastAsia" w:ascii="宋体" w:hAnsi="宋体" w:eastAsia="宋体" w:cs="宋体"/>
          <w:b w:val="0"/>
          <w:i w:val="0"/>
          <w:caps w:val="0"/>
          <w:color w:val="000000"/>
          <w:spacing w:val="0"/>
          <w:sz w:val="21"/>
          <w:szCs w:val="21"/>
        </w:rPr>
      </w:pPr>
      <w:r>
        <w:rPr>
          <w:rFonts w:ascii="方正楷体_gbk" w:hAnsi="方正楷体_gbk" w:eastAsia="方正楷体_gbk" w:cs="方正楷体_gbk"/>
          <w:b w:val="0"/>
          <w:i w:val="0"/>
          <w:caps w:val="0"/>
          <w:color w:val="000000"/>
          <w:spacing w:val="0"/>
          <w:sz w:val="31"/>
          <w:szCs w:val="31"/>
          <w:bdr w:val="none" w:color="auto" w:sz="0" w:space="0"/>
        </w:rPr>
        <w:t>　1.发布招聘公告</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0"/>
        <w:rPr>
          <w:rFonts w:hint="eastAsia" w:ascii="宋体" w:hAnsi="宋体" w:eastAsia="宋体" w:cs="宋体"/>
          <w:b w:val="0"/>
          <w:i w:val="0"/>
          <w:caps w:val="0"/>
          <w:color w:val="000000"/>
          <w:spacing w:val="0"/>
          <w:sz w:val="21"/>
          <w:szCs w:val="21"/>
        </w:rPr>
      </w:pPr>
      <w:r>
        <w:rPr>
          <w:rFonts w:hint="default" w:ascii="方正仿宋_gbk" w:hAnsi="方正仿宋_gbk" w:eastAsia="方正仿宋_gbk" w:cs="方正仿宋_gbk"/>
          <w:b w:val="0"/>
          <w:i w:val="0"/>
          <w:caps w:val="0"/>
          <w:color w:val="000000"/>
          <w:spacing w:val="0"/>
          <w:sz w:val="31"/>
          <w:szCs w:val="31"/>
          <w:bdr w:val="none" w:color="auto" w:sz="0" w:space="0"/>
        </w:rPr>
        <w:t>　　通过泰州市卫生和计划生育委员会网站、泰州市人力资源和社会保障局网站、泰州市人民医院网站、泰州人才网、泰州人事考试网等向社会公布招聘事项。</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0"/>
        <w:rPr>
          <w:rFonts w:hint="eastAsia" w:ascii="宋体" w:hAnsi="宋体" w:eastAsia="宋体" w:cs="宋体"/>
          <w:b w:val="0"/>
          <w:i w:val="0"/>
          <w:caps w:val="0"/>
          <w:color w:val="000000"/>
          <w:spacing w:val="0"/>
          <w:sz w:val="21"/>
          <w:szCs w:val="21"/>
        </w:rPr>
      </w:pPr>
      <w:r>
        <w:rPr>
          <w:rFonts w:hint="default" w:ascii="方正楷体_gbk" w:hAnsi="方正楷体_gbk" w:eastAsia="方正楷体_gbk" w:cs="方正楷体_gbk"/>
          <w:b w:val="0"/>
          <w:i w:val="0"/>
          <w:caps w:val="0"/>
          <w:color w:val="000000"/>
          <w:spacing w:val="0"/>
          <w:sz w:val="31"/>
          <w:szCs w:val="31"/>
          <w:bdr w:val="none" w:color="auto" w:sz="0" w:space="0"/>
        </w:rPr>
        <w:t>2.报名与资格审查</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0"/>
        <w:rPr>
          <w:rFonts w:hint="eastAsia" w:ascii="宋体" w:hAnsi="宋体" w:eastAsia="宋体" w:cs="宋体"/>
          <w:b w:val="0"/>
          <w:i w:val="0"/>
          <w:caps w:val="0"/>
          <w:color w:val="000000"/>
          <w:spacing w:val="0"/>
          <w:sz w:val="21"/>
          <w:szCs w:val="21"/>
        </w:rPr>
      </w:pPr>
      <w:r>
        <w:rPr>
          <w:rFonts w:hint="default" w:ascii="方正仿宋_gbk" w:hAnsi="方正仿宋_gbk" w:eastAsia="方正仿宋_gbk" w:cs="方正仿宋_gbk"/>
          <w:b w:val="0"/>
          <w:i w:val="0"/>
          <w:caps w:val="0"/>
          <w:color w:val="000000"/>
          <w:spacing w:val="0"/>
          <w:sz w:val="31"/>
          <w:szCs w:val="31"/>
          <w:bdr w:val="none" w:color="auto" w:sz="0" w:space="0"/>
        </w:rPr>
        <w:t>　　采取网上报名的方式。报名者只能选择一个岗位报名。</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0"/>
        <w:rPr>
          <w:rFonts w:hint="eastAsia" w:ascii="宋体" w:hAnsi="宋体" w:eastAsia="宋体" w:cs="宋体"/>
          <w:b w:val="0"/>
          <w:i w:val="0"/>
          <w:caps w:val="0"/>
          <w:color w:val="000000"/>
          <w:spacing w:val="0"/>
          <w:sz w:val="21"/>
          <w:szCs w:val="21"/>
        </w:rPr>
      </w:pPr>
      <w:r>
        <w:rPr>
          <w:rFonts w:hint="default" w:ascii="方正仿宋_gbk" w:hAnsi="方正仿宋_gbk" w:eastAsia="方正仿宋_gbk" w:cs="方正仿宋_gbk"/>
          <w:b w:val="0"/>
          <w:i w:val="0"/>
          <w:caps w:val="0"/>
          <w:color w:val="000000"/>
          <w:spacing w:val="0"/>
          <w:sz w:val="31"/>
          <w:szCs w:val="31"/>
          <w:bdr w:val="none" w:color="auto" w:sz="0" w:space="0"/>
        </w:rPr>
        <w:t>　　（1）报名时间：2016年11月10日—11月23日18：30。</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645"/>
        <w:rPr>
          <w:rFonts w:hint="eastAsia" w:ascii="宋体" w:hAnsi="宋体" w:eastAsia="宋体" w:cs="宋体"/>
          <w:b w:val="0"/>
          <w:i w:val="0"/>
          <w:caps w:val="0"/>
          <w:color w:val="000000"/>
          <w:spacing w:val="0"/>
          <w:sz w:val="21"/>
          <w:szCs w:val="21"/>
        </w:rPr>
      </w:pPr>
      <w:r>
        <w:rPr>
          <w:rFonts w:hint="default" w:ascii="方正仿宋_gbk" w:hAnsi="方正仿宋_gbk" w:eastAsia="方正仿宋_gbk" w:cs="方正仿宋_gbk"/>
          <w:b w:val="0"/>
          <w:i w:val="0"/>
          <w:caps w:val="0"/>
          <w:color w:val="000000"/>
          <w:spacing w:val="0"/>
          <w:sz w:val="31"/>
          <w:szCs w:val="31"/>
          <w:bdr w:val="none" w:color="auto" w:sz="0" w:space="0"/>
        </w:rPr>
        <w:t>（2）报名时需将下列材料原件扫描成电子版发送至报名邮箱tzrmyygkzp@163.com：①报名表（附件2）。②本人身份证原件。③本科及以上毕业证书、学位证书。④社会工作人员须提供有关工作经历及证明材料。⑤英语、计算机及其他资格证书、表彰奖励证书。⑥本人公开发表论文等业绩资料。</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645"/>
        <w:rPr>
          <w:rFonts w:hint="eastAsia" w:ascii="宋体" w:hAnsi="宋体" w:eastAsia="宋体" w:cs="宋体"/>
          <w:b w:val="0"/>
          <w:i w:val="0"/>
          <w:caps w:val="0"/>
          <w:color w:val="000000"/>
          <w:spacing w:val="0"/>
          <w:sz w:val="21"/>
          <w:szCs w:val="21"/>
        </w:rPr>
      </w:pPr>
      <w:r>
        <w:rPr>
          <w:rFonts w:hint="default" w:ascii="方正仿宋_gbk" w:hAnsi="方正仿宋_gbk" w:eastAsia="方正仿宋_gbk" w:cs="方正仿宋_gbk"/>
          <w:b w:val="0"/>
          <w:i w:val="0"/>
          <w:caps w:val="0"/>
          <w:color w:val="000000"/>
          <w:spacing w:val="0"/>
          <w:sz w:val="31"/>
          <w:szCs w:val="31"/>
          <w:bdr w:val="none" w:color="auto" w:sz="0" w:space="0"/>
        </w:rPr>
        <w:t>（3）报名者可登录泰州市卫生和计划生育委员会网站、泰州市人力资源和社会保障局网站、泰州市人民医院网站、泰州人才网、泰州人事考试网下载并填写《泰州市人民医院引进高层次人才报名表》（附件2）。应聘人员须按岗位要求如实填写有关信息，并上传本人近期免冠正面二寸（35×45毫米）证件照，jpg格式，大小为20Kb以下。</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0"/>
        <w:rPr>
          <w:rFonts w:hint="eastAsia" w:ascii="宋体" w:hAnsi="宋体" w:eastAsia="宋体" w:cs="宋体"/>
          <w:b w:val="0"/>
          <w:i w:val="0"/>
          <w:caps w:val="0"/>
          <w:color w:val="000000"/>
          <w:spacing w:val="0"/>
          <w:sz w:val="21"/>
          <w:szCs w:val="21"/>
        </w:rPr>
      </w:pPr>
      <w:r>
        <w:rPr>
          <w:rFonts w:hint="default" w:ascii="方正仿宋_gbk" w:hAnsi="方正仿宋_gbk" w:eastAsia="方正仿宋_gbk" w:cs="方正仿宋_gbk"/>
          <w:b w:val="0"/>
          <w:i w:val="0"/>
          <w:caps w:val="0"/>
          <w:color w:val="000000"/>
          <w:spacing w:val="0"/>
          <w:sz w:val="31"/>
          <w:szCs w:val="31"/>
          <w:bdr w:val="none" w:color="auto" w:sz="0" w:space="0"/>
        </w:rPr>
        <w:t>　　（4）有下列情形之一的，不得应聘：①现役军人、普通高校在读非应届毕业生；②本公告发布之日前，与本市用人单位未解除劳动人事关系的人员；③尚未解除纪律处分或者正在接受纪律审查的人员、刑事处罚期限未满或者涉嫌违法犯罪正在接受调查的人员；④应聘人员与招考单位负责人员有夫妻关系、直系血亲关系、三代以内旁系血亲关系或者近姻亲关系的，不得应聘与该单位负责人员有直接上下级领导关系的岗位；⑤国家和省另有规定不得应聘到事业单位有关岗位的人员。</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645"/>
        <w:rPr>
          <w:rFonts w:hint="eastAsia" w:ascii="宋体" w:hAnsi="宋体" w:eastAsia="宋体" w:cs="宋体"/>
          <w:b w:val="0"/>
          <w:i w:val="0"/>
          <w:caps w:val="0"/>
          <w:color w:val="000000"/>
          <w:spacing w:val="0"/>
          <w:sz w:val="21"/>
          <w:szCs w:val="21"/>
        </w:rPr>
      </w:pPr>
      <w:r>
        <w:rPr>
          <w:rFonts w:hint="default" w:ascii="方正仿宋_gbk" w:hAnsi="方正仿宋_gbk" w:eastAsia="方正仿宋_gbk" w:cs="方正仿宋_gbk"/>
          <w:b w:val="0"/>
          <w:i w:val="0"/>
          <w:caps w:val="0"/>
          <w:color w:val="000000"/>
          <w:spacing w:val="0"/>
          <w:sz w:val="31"/>
          <w:szCs w:val="31"/>
          <w:bdr w:val="none" w:color="auto" w:sz="0" w:space="0"/>
        </w:rPr>
        <w:t>考核前，应聘人员须提供相关材料原件供资格审查，对审查合格人员发放面试准考证。资格审查贯穿招聘活动全过程，应聘人员提交的材料凡有弄虚作假者，一经查实，即取消考试和录用资格。资格审查时间和地点另行通知。</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0"/>
        <w:rPr>
          <w:rFonts w:hint="eastAsia" w:ascii="宋体" w:hAnsi="宋体" w:eastAsia="宋体" w:cs="宋体"/>
          <w:b w:val="0"/>
          <w:i w:val="0"/>
          <w:caps w:val="0"/>
          <w:color w:val="000000"/>
          <w:spacing w:val="0"/>
          <w:sz w:val="21"/>
          <w:szCs w:val="21"/>
        </w:rPr>
      </w:pPr>
      <w:r>
        <w:rPr>
          <w:rFonts w:hint="default" w:ascii="方正仿宋_gbk" w:hAnsi="方正仿宋_gbk" w:eastAsia="方正仿宋_gbk" w:cs="方正仿宋_gbk"/>
          <w:b w:val="0"/>
          <w:i w:val="0"/>
          <w:caps w:val="0"/>
          <w:color w:val="000000"/>
          <w:spacing w:val="0"/>
          <w:sz w:val="31"/>
          <w:szCs w:val="31"/>
          <w:bdr w:val="none" w:color="auto" w:sz="0" w:space="0"/>
        </w:rPr>
        <w:t>　　本次公开招聘不收报名费和考试费。</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0"/>
        <w:rPr>
          <w:rFonts w:hint="eastAsia" w:ascii="宋体" w:hAnsi="宋体" w:eastAsia="宋体" w:cs="宋体"/>
          <w:b w:val="0"/>
          <w:i w:val="0"/>
          <w:caps w:val="0"/>
          <w:color w:val="000000"/>
          <w:spacing w:val="0"/>
          <w:sz w:val="21"/>
          <w:szCs w:val="21"/>
        </w:rPr>
      </w:pPr>
      <w:r>
        <w:rPr>
          <w:rFonts w:hint="default" w:ascii="方正楷体_gbk" w:hAnsi="方正楷体_gbk" w:eastAsia="方正楷体_gbk" w:cs="方正楷体_gbk"/>
          <w:b w:val="0"/>
          <w:i w:val="0"/>
          <w:caps w:val="0"/>
          <w:color w:val="000000"/>
          <w:spacing w:val="0"/>
          <w:sz w:val="31"/>
          <w:szCs w:val="31"/>
          <w:bdr w:val="none" w:color="auto" w:sz="0" w:space="0"/>
        </w:rPr>
        <w:t>3.考核</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0"/>
        <w:rPr>
          <w:rFonts w:hint="eastAsia" w:ascii="宋体" w:hAnsi="宋体" w:eastAsia="宋体" w:cs="宋体"/>
          <w:b w:val="0"/>
          <w:i w:val="0"/>
          <w:caps w:val="0"/>
          <w:color w:val="000000"/>
          <w:spacing w:val="0"/>
          <w:sz w:val="21"/>
          <w:szCs w:val="21"/>
        </w:rPr>
      </w:pPr>
      <w:r>
        <w:rPr>
          <w:rFonts w:hint="default" w:ascii="方正仿宋_gbk" w:hAnsi="方正仿宋_gbk" w:eastAsia="方正仿宋_gbk" w:cs="方正仿宋_gbk"/>
          <w:b w:val="0"/>
          <w:i w:val="0"/>
          <w:caps w:val="0"/>
          <w:color w:val="000000"/>
          <w:spacing w:val="0"/>
          <w:sz w:val="31"/>
          <w:szCs w:val="31"/>
          <w:bdr w:val="none" w:color="auto" w:sz="0" w:space="0"/>
        </w:rPr>
        <w:t>　　考核采取面试的方式。主要测试履行岗位职责所需的业务能力和综合素质。面试总分为100分，合格线为60分。考试不合格者不予聘用。面试成绩相同的，组织加试确定。考试时间、地点另行通知。</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0"/>
        <w:rPr>
          <w:rFonts w:hint="eastAsia" w:ascii="宋体" w:hAnsi="宋体" w:eastAsia="宋体" w:cs="宋体"/>
          <w:b w:val="0"/>
          <w:i w:val="0"/>
          <w:caps w:val="0"/>
          <w:color w:val="000000"/>
          <w:spacing w:val="0"/>
          <w:sz w:val="21"/>
          <w:szCs w:val="21"/>
        </w:rPr>
      </w:pPr>
      <w:r>
        <w:rPr>
          <w:rFonts w:hint="default" w:ascii="方正楷体_gbk" w:hAnsi="方正楷体_gbk" w:eastAsia="方正楷体_gbk" w:cs="方正楷体_gbk"/>
          <w:b w:val="0"/>
          <w:i w:val="0"/>
          <w:caps w:val="0"/>
          <w:color w:val="000000"/>
          <w:spacing w:val="0"/>
          <w:sz w:val="31"/>
          <w:szCs w:val="31"/>
          <w:bdr w:val="none" w:color="auto" w:sz="0" w:space="0"/>
        </w:rPr>
        <w:t>4.体检、考察</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0"/>
        <w:rPr>
          <w:rFonts w:hint="eastAsia" w:ascii="宋体" w:hAnsi="宋体" w:eastAsia="宋体" w:cs="宋体"/>
          <w:b w:val="0"/>
          <w:i w:val="0"/>
          <w:caps w:val="0"/>
          <w:color w:val="000000"/>
          <w:spacing w:val="0"/>
          <w:sz w:val="21"/>
          <w:szCs w:val="21"/>
        </w:rPr>
      </w:pPr>
      <w:r>
        <w:rPr>
          <w:rFonts w:hint="default" w:ascii="方正仿宋_gbk" w:hAnsi="方正仿宋_gbk" w:eastAsia="方正仿宋_gbk" w:cs="方正仿宋_gbk"/>
          <w:b w:val="0"/>
          <w:i w:val="0"/>
          <w:caps w:val="0"/>
          <w:color w:val="000000"/>
          <w:spacing w:val="0"/>
          <w:sz w:val="31"/>
          <w:szCs w:val="31"/>
          <w:bdr w:val="none" w:color="auto" w:sz="0" w:space="0"/>
        </w:rPr>
        <w:t>　　考试结束后，根据考生成绩从高分到低分按招聘计划数1：1的比例确定体检人员。体检标准参照《国家公务员录用体检通用标准（试行）》《公务员录用体检操作手册（试行）》执行，同时要符合《医师执业注册暂行办法》中“第二章注册条件”的相关要求。因体检不合格等原因出现空缺时，一次性递补人员参加体检。对体检合格者，按照相关规定进行考察，并确定拟聘用人员。</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0"/>
        <w:rPr>
          <w:rFonts w:hint="eastAsia" w:ascii="宋体" w:hAnsi="宋体" w:eastAsia="宋体" w:cs="宋体"/>
          <w:b w:val="0"/>
          <w:i w:val="0"/>
          <w:caps w:val="0"/>
          <w:color w:val="000000"/>
          <w:spacing w:val="0"/>
          <w:sz w:val="21"/>
          <w:szCs w:val="21"/>
        </w:rPr>
      </w:pPr>
      <w:r>
        <w:rPr>
          <w:rFonts w:hint="default" w:ascii="方正仿宋_gbk" w:hAnsi="方正仿宋_gbk" w:eastAsia="方正仿宋_gbk" w:cs="方正仿宋_gbk"/>
          <w:b w:val="0"/>
          <w:i w:val="0"/>
          <w:caps w:val="0"/>
          <w:color w:val="000000"/>
          <w:spacing w:val="0"/>
          <w:sz w:val="31"/>
          <w:szCs w:val="31"/>
          <w:bdr w:val="none" w:color="auto" w:sz="0" w:space="0"/>
        </w:rPr>
        <w:t>　  </w:t>
      </w:r>
      <w:r>
        <w:rPr>
          <w:rFonts w:hint="default" w:ascii="方正楷体_gbk" w:hAnsi="方正楷体_gbk" w:eastAsia="方正楷体_gbk" w:cs="方正楷体_gbk"/>
          <w:b w:val="0"/>
          <w:i w:val="0"/>
          <w:caps w:val="0"/>
          <w:color w:val="000000"/>
          <w:spacing w:val="0"/>
          <w:sz w:val="31"/>
          <w:szCs w:val="31"/>
          <w:bdr w:val="none" w:color="auto" w:sz="0" w:space="0"/>
        </w:rPr>
        <w:t>5.公示、聘用</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645"/>
        <w:rPr>
          <w:rFonts w:hint="eastAsia" w:ascii="宋体" w:hAnsi="宋体" w:eastAsia="宋体" w:cs="宋体"/>
          <w:b w:val="0"/>
          <w:i w:val="0"/>
          <w:caps w:val="0"/>
          <w:color w:val="000000"/>
          <w:spacing w:val="0"/>
          <w:sz w:val="21"/>
          <w:szCs w:val="21"/>
        </w:rPr>
      </w:pPr>
      <w:r>
        <w:rPr>
          <w:rFonts w:hint="default" w:ascii="方正仿宋_gbk" w:hAnsi="方正仿宋_gbk" w:eastAsia="方正仿宋_gbk" w:cs="方正仿宋_gbk"/>
          <w:b w:val="0"/>
          <w:i w:val="0"/>
          <w:caps w:val="0"/>
          <w:color w:val="000000"/>
          <w:spacing w:val="0"/>
          <w:sz w:val="31"/>
          <w:szCs w:val="31"/>
          <w:bdr w:val="none" w:color="auto" w:sz="0" w:space="0"/>
        </w:rPr>
        <w:t>所有拟聘人员，须公示7个工作日，公示内容包括拟聘用人员姓名、性别、毕业院校和毕业专业、非应届毕业生的现工作单位、拟聘岗位、面试成绩与排名等。公示无异议后，按规定程序申报备案，经备案同意，由单位按照《江苏省事业单位人员聘用制暂行办法》有关规定，与聘用人员签订聘用合同，办理聘用手续。　　</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645"/>
        <w:rPr>
          <w:rFonts w:hint="eastAsia" w:ascii="宋体" w:hAnsi="宋体" w:eastAsia="宋体" w:cs="宋体"/>
          <w:b w:val="0"/>
          <w:i w:val="0"/>
          <w:caps w:val="0"/>
          <w:color w:val="000000"/>
          <w:spacing w:val="0"/>
          <w:sz w:val="21"/>
          <w:szCs w:val="21"/>
        </w:rPr>
      </w:pPr>
      <w:r>
        <w:rPr>
          <w:rFonts w:hint="default" w:ascii="方正黑体_gbk" w:hAnsi="方正黑体_gbk" w:eastAsia="方正黑体_gbk" w:cs="方正黑体_gbk"/>
          <w:b w:val="0"/>
          <w:i w:val="0"/>
          <w:caps w:val="0"/>
          <w:color w:val="000000"/>
          <w:spacing w:val="0"/>
          <w:sz w:val="31"/>
          <w:szCs w:val="31"/>
          <w:bdr w:val="none" w:color="auto" w:sz="0" w:space="0"/>
        </w:rPr>
        <w:t>四、人才引进政策咨询</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0"/>
        <w:rPr>
          <w:rFonts w:hint="eastAsia" w:ascii="宋体" w:hAnsi="宋体" w:eastAsia="宋体" w:cs="宋体"/>
          <w:b w:val="0"/>
          <w:i w:val="0"/>
          <w:caps w:val="0"/>
          <w:color w:val="000000"/>
          <w:spacing w:val="0"/>
          <w:sz w:val="21"/>
          <w:szCs w:val="21"/>
        </w:rPr>
      </w:pPr>
      <w:r>
        <w:rPr>
          <w:rFonts w:hint="default" w:ascii="方正仿宋_gbk" w:hAnsi="方正仿宋_gbk" w:eastAsia="方正仿宋_gbk" w:cs="方正仿宋_gbk"/>
          <w:b w:val="0"/>
          <w:i w:val="0"/>
          <w:caps w:val="0"/>
          <w:color w:val="000000"/>
          <w:spacing w:val="0"/>
          <w:sz w:val="31"/>
          <w:szCs w:val="31"/>
          <w:bdr w:val="none" w:color="auto" w:sz="0" w:space="0"/>
        </w:rPr>
        <w:t>　　泰州市人民医院人事处负责引进政策咨询。咨询电话：0523-86361478，联系人：陈兰凤</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0"/>
        <w:rPr>
          <w:rFonts w:hint="eastAsia" w:ascii="宋体" w:hAnsi="宋体" w:eastAsia="宋体" w:cs="宋体"/>
          <w:b w:val="0"/>
          <w:i w:val="0"/>
          <w:caps w:val="0"/>
          <w:color w:val="000000"/>
          <w:spacing w:val="0"/>
          <w:sz w:val="21"/>
          <w:szCs w:val="21"/>
        </w:rPr>
      </w:pPr>
      <w:r>
        <w:rPr>
          <w:rFonts w:hint="default" w:ascii="方正黑体_gbk" w:hAnsi="方正黑体_gbk" w:eastAsia="方正黑体_gbk" w:cs="方正黑体_gbk"/>
          <w:b w:val="0"/>
          <w:i w:val="0"/>
          <w:caps w:val="0"/>
          <w:color w:val="000000"/>
          <w:spacing w:val="0"/>
          <w:sz w:val="31"/>
          <w:szCs w:val="31"/>
          <w:bdr w:val="none" w:color="auto" w:sz="0" w:space="0"/>
        </w:rPr>
        <w:t>五、人才引进工作监督</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0"/>
        <w:rPr>
          <w:rFonts w:hint="eastAsia" w:ascii="宋体" w:hAnsi="宋体" w:eastAsia="宋体" w:cs="宋体"/>
          <w:b w:val="0"/>
          <w:i w:val="0"/>
          <w:caps w:val="0"/>
          <w:color w:val="000000"/>
          <w:spacing w:val="0"/>
          <w:sz w:val="21"/>
          <w:szCs w:val="21"/>
        </w:rPr>
      </w:pPr>
      <w:r>
        <w:rPr>
          <w:rFonts w:hint="default" w:ascii="方正仿宋_gbk" w:hAnsi="方正仿宋_gbk" w:eastAsia="方正仿宋_gbk" w:cs="方正仿宋_gbk"/>
          <w:b w:val="0"/>
          <w:i w:val="0"/>
          <w:caps w:val="0"/>
          <w:color w:val="000000"/>
          <w:spacing w:val="0"/>
          <w:sz w:val="31"/>
          <w:szCs w:val="31"/>
          <w:bdr w:val="none" w:color="auto" w:sz="0" w:space="0"/>
        </w:rPr>
        <w:t>　　泰州市人民医院纪委对此次人才引进工作进行纪律监督。监督电话：0523-86361303。</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0"/>
        <w:rPr>
          <w:rFonts w:hint="eastAsia" w:ascii="宋体" w:hAnsi="宋体" w:eastAsia="宋体" w:cs="宋体"/>
          <w:b w:val="0"/>
          <w:i w:val="0"/>
          <w:caps w:val="0"/>
          <w:color w:val="000000"/>
          <w:spacing w:val="0"/>
          <w:sz w:val="21"/>
          <w:szCs w:val="21"/>
        </w:rPr>
      </w:pPr>
      <w:r>
        <w:rPr>
          <w:rFonts w:hint="default" w:ascii="方正黑体_gbk" w:hAnsi="方正黑体_gbk" w:eastAsia="方正黑体_gbk" w:cs="方正黑体_gbk"/>
          <w:b w:val="0"/>
          <w:i w:val="0"/>
          <w:caps w:val="0"/>
          <w:color w:val="000000"/>
          <w:spacing w:val="0"/>
          <w:sz w:val="31"/>
          <w:szCs w:val="31"/>
          <w:bdr w:val="none" w:color="auto" w:sz="0" w:space="0"/>
        </w:rPr>
        <w:t>六、人才引进工作举报</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0"/>
        <w:rPr>
          <w:rFonts w:hint="eastAsia" w:ascii="宋体" w:hAnsi="宋体" w:eastAsia="宋体" w:cs="宋体"/>
          <w:b w:val="0"/>
          <w:i w:val="0"/>
          <w:caps w:val="0"/>
          <w:color w:val="000000"/>
          <w:spacing w:val="0"/>
          <w:sz w:val="21"/>
          <w:szCs w:val="21"/>
        </w:rPr>
      </w:pPr>
      <w:r>
        <w:rPr>
          <w:rFonts w:hint="default" w:ascii="方正仿宋_gbk" w:hAnsi="方正仿宋_gbk" w:eastAsia="方正仿宋_gbk" w:cs="方正仿宋_gbk"/>
          <w:b w:val="0"/>
          <w:i w:val="0"/>
          <w:caps w:val="0"/>
          <w:color w:val="000000"/>
          <w:spacing w:val="0"/>
          <w:sz w:val="31"/>
          <w:szCs w:val="31"/>
          <w:bdr w:val="none" w:color="auto" w:sz="0" w:space="0"/>
        </w:rPr>
        <w:t>　　泰州市卫生和计划生育委员会、泰州市人力资源和社会保障局接受事业单位高层次人才引进工作举报。举报电话：0523-86393166，86880623。</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0"/>
        <w:rPr>
          <w:rFonts w:hint="eastAsia" w:ascii="宋体" w:hAnsi="宋体" w:eastAsia="宋体" w:cs="宋体"/>
          <w:b w:val="0"/>
          <w:i w:val="0"/>
          <w:caps w:val="0"/>
          <w:color w:val="000000"/>
          <w:spacing w:val="0"/>
          <w:sz w:val="21"/>
          <w:szCs w:val="21"/>
        </w:rPr>
      </w:pPr>
      <w:r>
        <w:rPr>
          <w:rFonts w:hint="default" w:ascii="方正仿宋_gbk" w:hAnsi="方正仿宋_gbk" w:eastAsia="方正仿宋_gbk" w:cs="方正仿宋_gbk"/>
          <w:b w:val="0"/>
          <w:i w:val="0"/>
          <w:caps w:val="0"/>
          <w:color w:val="000000"/>
          <w:spacing w:val="0"/>
          <w:sz w:val="31"/>
          <w:szCs w:val="31"/>
          <w:bdr w:val="none" w:color="auto" w:sz="0" w:space="0"/>
        </w:rPr>
        <w:t>　　附件：1.泰州市人民医院引进高层次人才岗位表</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0"/>
        <w:rPr>
          <w:rFonts w:hint="eastAsia" w:ascii="宋体" w:hAnsi="宋体" w:eastAsia="宋体" w:cs="宋体"/>
          <w:b w:val="0"/>
          <w:i w:val="0"/>
          <w:caps w:val="0"/>
          <w:color w:val="000000"/>
          <w:spacing w:val="0"/>
          <w:sz w:val="21"/>
          <w:szCs w:val="21"/>
        </w:rPr>
      </w:pPr>
      <w:r>
        <w:rPr>
          <w:rFonts w:hint="default" w:ascii="方正仿宋_gbk" w:hAnsi="方正仿宋_gbk" w:eastAsia="方正仿宋_gbk" w:cs="方正仿宋_gbk"/>
          <w:b w:val="0"/>
          <w:i w:val="0"/>
          <w:caps w:val="0"/>
          <w:color w:val="000000"/>
          <w:spacing w:val="0"/>
          <w:sz w:val="31"/>
          <w:szCs w:val="31"/>
          <w:bdr w:val="none" w:color="auto" w:sz="0" w:space="0"/>
        </w:rPr>
        <w:t>　　　　　2.泰州市人民医院引进高层次人才报名表</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0"/>
        <w:rPr>
          <w:rFonts w:hint="eastAsia" w:ascii="宋体" w:hAnsi="宋体" w:eastAsia="宋体" w:cs="宋体"/>
          <w:b w:val="0"/>
          <w:i w:val="0"/>
          <w:caps w:val="0"/>
          <w:color w:val="000000"/>
          <w:spacing w:val="0"/>
          <w:sz w:val="21"/>
          <w:szCs w:val="21"/>
        </w:rPr>
      </w:pPr>
      <w:r>
        <w:rPr>
          <w:rFonts w:hint="default" w:ascii="方正仿宋_gbk" w:hAnsi="方正仿宋_gbk" w:eastAsia="方正仿宋_gbk" w:cs="方正仿宋_gbk"/>
          <w:b w:val="0"/>
          <w:i w:val="0"/>
          <w:caps w:val="0"/>
          <w:color w:val="000000"/>
          <w:spacing w:val="0"/>
          <w:sz w:val="31"/>
          <w:szCs w:val="31"/>
          <w:bdr w:val="none" w:color="auto" w:sz="0" w:space="0"/>
        </w:rPr>
        <w:t>　　　                                  </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5280"/>
        <w:rPr>
          <w:rFonts w:hint="eastAsia" w:ascii="宋体" w:hAnsi="宋体" w:eastAsia="宋体" w:cs="宋体"/>
          <w:b w:val="0"/>
          <w:i w:val="0"/>
          <w:caps w:val="0"/>
          <w:color w:val="000000"/>
          <w:spacing w:val="0"/>
          <w:sz w:val="21"/>
          <w:szCs w:val="21"/>
        </w:rPr>
      </w:pPr>
      <w:r>
        <w:rPr>
          <w:rFonts w:hint="default" w:ascii="方正仿宋_gbk" w:hAnsi="方正仿宋_gbk" w:eastAsia="方正仿宋_gbk" w:cs="方正仿宋_gbk"/>
          <w:b w:val="0"/>
          <w:i w:val="0"/>
          <w:caps w:val="0"/>
          <w:color w:val="000000"/>
          <w:spacing w:val="0"/>
          <w:sz w:val="31"/>
          <w:szCs w:val="31"/>
          <w:bdr w:val="none" w:color="auto" w:sz="0" w:space="0"/>
        </w:rPr>
        <w:t>泰州市人民医院</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0"/>
        <w:rPr>
          <w:rFonts w:hint="eastAsia" w:ascii="宋体" w:hAnsi="宋体" w:eastAsia="宋体" w:cs="宋体"/>
          <w:b w:val="0"/>
          <w:i w:val="0"/>
          <w:caps w:val="0"/>
          <w:color w:val="000000"/>
          <w:spacing w:val="0"/>
          <w:sz w:val="21"/>
          <w:szCs w:val="21"/>
        </w:rPr>
      </w:pPr>
      <w:r>
        <w:rPr>
          <w:rFonts w:hint="default" w:ascii="方正仿宋_gbk" w:hAnsi="方正仿宋_gbk" w:eastAsia="方正仿宋_gbk" w:cs="方正仿宋_gbk"/>
          <w:b w:val="0"/>
          <w:i w:val="0"/>
          <w:caps w:val="0"/>
          <w:color w:val="000000"/>
          <w:spacing w:val="0"/>
          <w:sz w:val="31"/>
          <w:szCs w:val="31"/>
          <w:bdr w:val="none" w:color="auto" w:sz="0" w:space="0"/>
        </w:rPr>
        <w:t>　　　　　　　　　　　　　　　　2016年11月10日</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0"/>
        <w:rPr>
          <w:rFonts w:hint="eastAsia" w:ascii="宋体" w:hAnsi="宋体" w:eastAsia="宋体" w:cs="宋体"/>
          <w:b w:val="0"/>
          <w:i w:val="0"/>
          <w:caps w:val="0"/>
          <w:color w:val="000000"/>
          <w:spacing w:val="0"/>
          <w:sz w:val="21"/>
          <w:szCs w:val="21"/>
        </w:rPr>
      </w:pPr>
      <w:r>
        <w:rPr>
          <w:rFonts w:hint="default" w:ascii="方正仿宋_gbk" w:hAnsi="方正仿宋_gbk" w:eastAsia="方正仿宋_gbk" w:cs="方正仿宋_gbk"/>
          <w:b w:val="0"/>
          <w:i w:val="0"/>
          <w:caps w:val="0"/>
          <w:color w:val="000000"/>
          <w:spacing w:val="0"/>
          <w:sz w:val="31"/>
          <w:szCs w:val="31"/>
          <w:bdr w:val="none" w:color="auto" w:sz="0" w:space="0"/>
        </w:rPr>
        <w:t> </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5" w:lineRule="atLeast"/>
        <w:ind w:left="0" w:right="0" w:firstLine="0"/>
        <w:rPr>
          <w:rFonts w:hint="eastAsia" w:ascii="宋体" w:hAnsi="宋体" w:eastAsia="宋体" w:cs="宋体"/>
          <w:b w:val="0"/>
          <w:i w:val="0"/>
          <w:caps w:val="0"/>
          <w:color w:val="000000"/>
          <w:spacing w:val="0"/>
          <w:sz w:val="21"/>
          <w:szCs w:val="21"/>
        </w:rPr>
      </w:pPr>
      <w:r>
        <w:rPr>
          <w:rFonts w:ascii="黑体" w:hAnsi="宋体" w:eastAsia="黑体" w:cs="黑体"/>
          <w:b w:val="0"/>
          <w:i w:val="0"/>
          <w:caps w:val="0"/>
          <w:color w:val="000000"/>
          <w:spacing w:val="0"/>
          <w:sz w:val="24"/>
          <w:szCs w:val="24"/>
          <w:bdr w:val="none" w:color="auto" w:sz="0" w:space="0"/>
        </w:rPr>
        <w:t>附件1：                </w:t>
      </w:r>
      <w:r>
        <w:rPr>
          <w:rFonts w:hint="eastAsia" w:ascii="黑体" w:hAnsi="宋体" w:eastAsia="黑体" w:cs="黑体"/>
          <w:b w:val="0"/>
          <w:i w:val="0"/>
          <w:caps w:val="0"/>
          <w:color w:val="000000"/>
          <w:spacing w:val="0"/>
          <w:sz w:val="24"/>
          <w:szCs w:val="24"/>
          <w:bdr w:val="none" w:color="auto" w:sz="0" w:space="0"/>
        </w:rPr>
        <w:t> </w:t>
      </w:r>
      <w:r>
        <w:rPr>
          <w:rFonts w:ascii="方正小标宋_gbk" w:hAnsi="方正小标宋_gbk" w:eastAsia="方正小标宋_gbk" w:cs="方正小标宋_gbk"/>
          <w:b w:val="0"/>
          <w:i w:val="0"/>
          <w:caps w:val="0"/>
          <w:color w:val="000000"/>
          <w:spacing w:val="0"/>
          <w:sz w:val="36"/>
          <w:szCs w:val="36"/>
          <w:bdr w:val="none" w:color="auto" w:sz="0" w:space="0"/>
        </w:rPr>
        <w:t>泰州市人民医院引进高层次人才岗位表</w:t>
      </w:r>
    </w:p>
    <w:tbl>
      <w:tblPr>
        <w:tblW w:w="8512" w:type="dxa"/>
        <w:tblCellSpacing w:w="0" w:type="dxa"/>
        <w:tblInd w:w="15" w:type="dxa"/>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Layout w:type="fixed"/>
        <w:tblCellMar>
          <w:top w:w="0" w:type="dxa"/>
          <w:left w:w="0" w:type="dxa"/>
          <w:bottom w:w="0" w:type="dxa"/>
          <w:right w:w="0" w:type="dxa"/>
        </w:tblCellMar>
      </w:tblPr>
      <w:tblGrid>
        <w:gridCol w:w="600"/>
        <w:gridCol w:w="1217"/>
        <w:gridCol w:w="934"/>
        <w:gridCol w:w="2819"/>
        <w:gridCol w:w="726"/>
        <w:gridCol w:w="1500"/>
        <w:gridCol w:w="716"/>
      </w:tblGrid>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Layout w:type="fixed"/>
          <w:tblCellMar>
            <w:top w:w="0" w:type="dxa"/>
            <w:left w:w="0" w:type="dxa"/>
            <w:bottom w:w="0" w:type="dxa"/>
            <w:right w:w="0" w:type="dxa"/>
          </w:tblCellMar>
        </w:tblPrEx>
        <w:trPr>
          <w:trHeight w:val="375" w:hRule="atLeast"/>
          <w:tblCellSpacing w:w="0" w:type="dxa"/>
        </w:trPr>
        <w:tc>
          <w:tcPr>
            <w:tcW w:w="600" w:type="dxa"/>
            <w:tcBorders>
              <w:top w:val="single" w:color="000000" w:sz="6" w:space="0"/>
              <w:left w:val="single" w:color="000000" w:sz="6" w:space="0"/>
              <w:bottom w:val="single" w:color="000000" w:sz="6" w:space="0"/>
              <w:right w:val="single" w:color="000000" w:sz="6" w:space="0"/>
            </w:tcBorders>
            <w:shd w:val="clear"/>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pPr>
            <w:r>
              <w:rPr>
                <w:rFonts w:hint="eastAsia" w:ascii="黑体" w:hAnsi="宋体" w:eastAsia="黑体" w:cs="黑体"/>
                <w:b w:val="0"/>
                <w:i w:val="0"/>
                <w:caps w:val="0"/>
                <w:color w:val="000000"/>
                <w:spacing w:val="0"/>
                <w:sz w:val="22"/>
                <w:szCs w:val="22"/>
                <w:bdr w:val="none" w:color="auto" w:sz="0" w:space="0"/>
              </w:rPr>
              <w:t>岗位</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pPr>
            <w:r>
              <w:rPr>
                <w:rFonts w:hint="eastAsia" w:ascii="黑体" w:hAnsi="宋体" w:eastAsia="黑体" w:cs="黑体"/>
                <w:b w:val="0"/>
                <w:i w:val="0"/>
                <w:caps w:val="0"/>
                <w:color w:val="000000"/>
                <w:spacing w:val="0"/>
                <w:sz w:val="22"/>
                <w:szCs w:val="22"/>
                <w:bdr w:val="none" w:color="auto" w:sz="0" w:space="0"/>
              </w:rPr>
              <w:t>代码</w:t>
            </w:r>
          </w:p>
        </w:tc>
        <w:tc>
          <w:tcPr>
            <w:tcW w:w="1217" w:type="dxa"/>
            <w:tcBorders>
              <w:top w:val="single" w:color="000000" w:sz="6" w:space="0"/>
              <w:left w:val="nil"/>
              <w:bottom w:val="single" w:color="000000" w:sz="6" w:space="0"/>
              <w:right w:val="single" w:color="000000" w:sz="6" w:space="0"/>
            </w:tcBorders>
            <w:shd w:val="clear"/>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pPr>
            <w:r>
              <w:rPr>
                <w:rFonts w:hint="eastAsia" w:ascii="黑体" w:hAnsi="宋体" w:eastAsia="黑体" w:cs="黑体"/>
                <w:b w:val="0"/>
                <w:i w:val="0"/>
                <w:caps w:val="0"/>
                <w:color w:val="000000"/>
                <w:spacing w:val="0"/>
                <w:sz w:val="22"/>
                <w:szCs w:val="22"/>
                <w:bdr w:val="none" w:color="auto" w:sz="0" w:space="0"/>
              </w:rPr>
              <w:t>岗位名称</w:t>
            </w:r>
          </w:p>
        </w:tc>
        <w:tc>
          <w:tcPr>
            <w:tcW w:w="934" w:type="dxa"/>
            <w:tcBorders>
              <w:top w:val="single" w:color="000000" w:sz="6" w:space="0"/>
              <w:left w:val="nil"/>
              <w:bottom w:val="single" w:color="000000" w:sz="6" w:space="0"/>
              <w:right w:val="single" w:color="000000" w:sz="6" w:space="0"/>
            </w:tcBorders>
            <w:shd w:val="clear"/>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pPr>
            <w:r>
              <w:rPr>
                <w:rFonts w:hint="eastAsia" w:ascii="黑体" w:hAnsi="宋体" w:eastAsia="黑体" w:cs="黑体"/>
                <w:b w:val="0"/>
                <w:i w:val="0"/>
                <w:caps w:val="0"/>
                <w:color w:val="000000"/>
                <w:spacing w:val="0"/>
                <w:sz w:val="22"/>
                <w:szCs w:val="22"/>
                <w:bdr w:val="none" w:color="auto" w:sz="0" w:space="0"/>
              </w:rPr>
              <w:t>岗位类别</w:t>
            </w:r>
          </w:p>
        </w:tc>
        <w:tc>
          <w:tcPr>
            <w:tcW w:w="2819" w:type="dxa"/>
            <w:tcBorders>
              <w:top w:val="single" w:color="000000" w:sz="6" w:space="0"/>
              <w:left w:val="nil"/>
              <w:bottom w:val="single" w:color="000000" w:sz="6" w:space="0"/>
              <w:right w:val="single" w:color="000000" w:sz="6" w:space="0"/>
            </w:tcBorders>
            <w:shd w:val="clear"/>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pPr>
            <w:r>
              <w:rPr>
                <w:rFonts w:hint="eastAsia" w:ascii="黑体" w:hAnsi="宋体" w:eastAsia="黑体" w:cs="黑体"/>
                <w:b w:val="0"/>
                <w:i w:val="0"/>
                <w:caps w:val="0"/>
                <w:color w:val="000000"/>
                <w:spacing w:val="0"/>
                <w:sz w:val="22"/>
                <w:szCs w:val="22"/>
                <w:bdr w:val="none" w:color="auto" w:sz="0" w:space="0"/>
              </w:rPr>
              <w:t>专业</w:t>
            </w:r>
          </w:p>
        </w:tc>
        <w:tc>
          <w:tcPr>
            <w:tcW w:w="726" w:type="dxa"/>
            <w:tcBorders>
              <w:top w:val="single" w:color="000000" w:sz="6" w:space="0"/>
              <w:left w:val="nil"/>
              <w:bottom w:val="single" w:color="000000" w:sz="6" w:space="0"/>
              <w:right w:val="single" w:color="000000" w:sz="6" w:space="0"/>
            </w:tcBorders>
            <w:shd w:val="clear"/>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pPr>
            <w:r>
              <w:rPr>
                <w:rFonts w:hint="eastAsia" w:ascii="黑体" w:hAnsi="宋体" w:eastAsia="黑体" w:cs="黑体"/>
                <w:b w:val="0"/>
                <w:i w:val="0"/>
                <w:caps w:val="0"/>
                <w:color w:val="000000"/>
                <w:spacing w:val="0"/>
                <w:sz w:val="22"/>
                <w:szCs w:val="22"/>
                <w:bdr w:val="none" w:color="auto" w:sz="0" w:space="0"/>
              </w:rPr>
              <w:t>学历</w:t>
            </w:r>
          </w:p>
        </w:tc>
        <w:tc>
          <w:tcPr>
            <w:tcW w:w="1500" w:type="dxa"/>
            <w:tcBorders>
              <w:top w:val="single" w:color="000000" w:sz="6" w:space="0"/>
              <w:left w:val="nil"/>
              <w:bottom w:val="single" w:color="000000" w:sz="6" w:space="0"/>
              <w:right w:val="single" w:color="000000" w:sz="6" w:space="0"/>
            </w:tcBorders>
            <w:shd w:val="clear"/>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pPr>
            <w:r>
              <w:rPr>
                <w:rFonts w:hint="eastAsia" w:ascii="黑体" w:hAnsi="宋体" w:eastAsia="黑体" w:cs="黑体"/>
                <w:b w:val="0"/>
                <w:i w:val="0"/>
                <w:caps w:val="0"/>
                <w:color w:val="000000"/>
                <w:spacing w:val="0"/>
                <w:sz w:val="22"/>
                <w:szCs w:val="22"/>
                <w:bdr w:val="none" w:color="auto" w:sz="0" w:space="0"/>
              </w:rPr>
              <w:t>学位或技术职称</w:t>
            </w:r>
          </w:p>
        </w:tc>
        <w:tc>
          <w:tcPr>
            <w:tcW w:w="716" w:type="dxa"/>
            <w:tcBorders>
              <w:top w:val="single" w:color="000000" w:sz="6" w:space="0"/>
              <w:left w:val="nil"/>
              <w:bottom w:val="single" w:color="000000" w:sz="6" w:space="0"/>
              <w:right w:val="single" w:color="000000" w:sz="6" w:space="0"/>
            </w:tcBorders>
            <w:shd w:val="clear"/>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pPr>
            <w:r>
              <w:rPr>
                <w:rFonts w:hint="eastAsia" w:ascii="黑体" w:hAnsi="宋体" w:eastAsia="黑体" w:cs="黑体"/>
                <w:b w:val="0"/>
                <w:i w:val="0"/>
                <w:caps w:val="0"/>
                <w:color w:val="000000"/>
                <w:spacing w:val="0"/>
                <w:sz w:val="22"/>
                <w:szCs w:val="22"/>
                <w:bdr w:val="none" w:color="auto" w:sz="0" w:space="0"/>
              </w:rPr>
              <w:t>人数</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0" w:type="dxa"/>
            <w:left w:w="0" w:type="dxa"/>
            <w:bottom w:w="0" w:type="dxa"/>
            <w:right w:w="0" w:type="dxa"/>
          </w:tblCellMar>
        </w:tblPrEx>
        <w:trPr>
          <w:trHeight w:val="375" w:hRule="atLeast"/>
          <w:tblCellSpacing w:w="0" w:type="dxa"/>
        </w:trPr>
        <w:tc>
          <w:tcPr>
            <w:tcW w:w="600" w:type="dxa"/>
            <w:tcBorders>
              <w:top w:val="nil"/>
              <w:left w:val="single" w:color="000000" w:sz="6" w:space="0"/>
              <w:bottom w:val="single" w:color="000000" w:sz="6" w:space="0"/>
              <w:right w:val="single" w:color="000000" w:sz="6" w:space="0"/>
            </w:tcBorders>
            <w:shd w:val="clear"/>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pPr>
            <w:r>
              <w:rPr>
                <w:rFonts w:ascii="仿宋_gb2312" w:hAnsi="仿宋_gb2312" w:eastAsia="仿宋_gb2312" w:cs="仿宋_gb2312"/>
                <w:b w:val="0"/>
                <w:i w:val="0"/>
                <w:caps w:val="0"/>
                <w:color w:val="000000"/>
                <w:spacing w:val="0"/>
                <w:sz w:val="24"/>
                <w:szCs w:val="24"/>
                <w:bdr w:val="none" w:color="auto" w:sz="0" w:space="0"/>
              </w:rPr>
              <w:t>01</w:t>
            </w:r>
          </w:p>
        </w:tc>
        <w:tc>
          <w:tcPr>
            <w:tcW w:w="1217" w:type="dxa"/>
            <w:tcBorders>
              <w:top w:val="nil"/>
              <w:left w:val="nil"/>
              <w:bottom w:val="single" w:color="000000" w:sz="6" w:space="0"/>
              <w:right w:val="single" w:color="000000" w:sz="6" w:space="0"/>
            </w:tcBorders>
            <w:shd w:val="clear"/>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pPr>
            <w:r>
              <w:rPr>
                <w:rFonts w:hint="default" w:ascii="仿宋_gb2312" w:hAnsi="仿宋_gb2312" w:eastAsia="仿宋_gb2312" w:cs="仿宋_gb2312"/>
                <w:b w:val="0"/>
                <w:i w:val="0"/>
                <w:caps w:val="0"/>
                <w:color w:val="000000"/>
                <w:spacing w:val="0"/>
                <w:sz w:val="24"/>
                <w:szCs w:val="24"/>
                <w:bdr w:val="none" w:color="auto" w:sz="0" w:space="0"/>
              </w:rPr>
              <w:t>生殖医学中心医师</w:t>
            </w:r>
          </w:p>
        </w:tc>
        <w:tc>
          <w:tcPr>
            <w:tcW w:w="934" w:type="dxa"/>
            <w:tcBorders>
              <w:top w:val="nil"/>
              <w:left w:val="nil"/>
              <w:bottom w:val="single" w:color="000000" w:sz="6" w:space="0"/>
              <w:right w:val="single" w:color="000000" w:sz="6" w:space="0"/>
            </w:tcBorders>
            <w:shd w:val="clear"/>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pPr>
            <w:r>
              <w:rPr>
                <w:rFonts w:hint="default" w:ascii="仿宋_gb2312" w:hAnsi="仿宋_gb2312" w:eastAsia="仿宋_gb2312" w:cs="仿宋_gb2312"/>
                <w:b w:val="0"/>
                <w:i w:val="0"/>
                <w:caps w:val="0"/>
                <w:color w:val="000000"/>
                <w:spacing w:val="0"/>
                <w:sz w:val="24"/>
                <w:szCs w:val="24"/>
                <w:bdr w:val="none" w:color="auto" w:sz="0" w:space="0"/>
              </w:rPr>
              <w:t>专业技术岗</w:t>
            </w:r>
          </w:p>
        </w:tc>
        <w:tc>
          <w:tcPr>
            <w:tcW w:w="2819" w:type="dxa"/>
            <w:tcBorders>
              <w:top w:val="nil"/>
              <w:left w:val="nil"/>
              <w:bottom w:val="single" w:color="000000" w:sz="6" w:space="0"/>
              <w:right w:val="single" w:color="000000" w:sz="6" w:space="0"/>
            </w:tcBorders>
            <w:shd w:val="clear"/>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pPr>
            <w:r>
              <w:rPr>
                <w:rFonts w:hint="default" w:ascii="仿宋_gb2312" w:hAnsi="仿宋_gb2312" w:eastAsia="仿宋_gb2312" w:cs="仿宋_gb2312"/>
                <w:b w:val="0"/>
                <w:i w:val="0"/>
                <w:caps w:val="0"/>
                <w:color w:val="000000"/>
                <w:spacing w:val="0"/>
                <w:sz w:val="24"/>
                <w:szCs w:val="24"/>
                <w:bdr w:val="none" w:color="auto" w:sz="0" w:space="0"/>
              </w:rPr>
              <w:t>妇产科学</w:t>
            </w:r>
          </w:p>
        </w:tc>
        <w:tc>
          <w:tcPr>
            <w:tcW w:w="726" w:type="dxa"/>
            <w:tcBorders>
              <w:top w:val="nil"/>
              <w:left w:val="nil"/>
              <w:bottom w:val="single" w:color="000000" w:sz="6" w:space="0"/>
              <w:right w:val="single" w:color="000000" w:sz="6" w:space="0"/>
            </w:tcBorders>
            <w:shd w:val="clear"/>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pPr>
            <w:r>
              <w:rPr>
                <w:rFonts w:hint="default" w:ascii="仿宋_gb2312" w:hAnsi="仿宋_gb2312" w:eastAsia="仿宋_gb2312" w:cs="仿宋_gb2312"/>
                <w:b w:val="0"/>
                <w:i w:val="0"/>
                <w:caps w:val="0"/>
                <w:color w:val="000000"/>
                <w:spacing w:val="0"/>
                <w:sz w:val="24"/>
                <w:szCs w:val="24"/>
                <w:bdr w:val="none" w:color="auto" w:sz="0" w:space="0"/>
              </w:rPr>
              <w:t>研究生</w:t>
            </w:r>
          </w:p>
        </w:tc>
        <w:tc>
          <w:tcPr>
            <w:tcW w:w="1500" w:type="dxa"/>
            <w:tcBorders>
              <w:top w:val="nil"/>
              <w:left w:val="nil"/>
              <w:bottom w:val="single" w:color="000000" w:sz="6" w:space="0"/>
              <w:right w:val="single" w:color="000000" w:sz="6" w:space="0"/>
            </w:tcBorders>
            <w:shd w:val="clear"/>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pPr>
            <w:r>
              <w:rPr>
                <w:rFonts w:hint="default" w:ascii="仿宋_gb2312" w:hAnsi="仿宋_gb2312" w:eastAsia="仿宋_gb2312" w:cs="仿宋_gb2312"/>
                <w:b w:val="0"/>
                <w:i w:val="0"/>
                <w:caps w:val="0"/>
                <w:color w:val="000000"/>
                <w:spacing w:val="0"/>
                <w:sz w:val="24"/>
                <w:szCs w:val="24"/>
                <w:bdr w:val="none" w:color="auto" w:sz="0" w:space="0"/>
              </w:rPr>
              <w:t>博士</w:t>
            </w:r>
          </w:p>
        </w:tc>
        <w:tc>
          <w:tcPr>
            <w:tcW w:w="716" w:type="dxa"/>
            <w:tcBorders>
              <w:top w:val="nil"/>
              <w:left w:val="nil"/>
              <w:bottom w:val="single" w:color="000000" w:sz="6" w:space="0"/>
              <w:right w:val="single" w:color="000000" w:sz="6" w:space="0"/>
            </w:tcBorders>
            <w:shd w:val="clear"/>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pPr>
            <w:r>
              <w:rPr>
                <w:rFonts w:hint="default" w:ascii="仿宋_gb2312" w:hAnsi="仿宋_gb2312" w:eastAsia="仿宋_gb2312" w:cs="仿宋_gb2312"/>
                <w:b w:val="0"/>
                <w:i w:val="0"/>
                <w:caps w:val="0"/>
                <w:color w:val="000000"/>
                <w:spacing w:val="0"/>
                <w:sz w:val="24"/>
                <w:szCs w:val="24"/>
                <w:bdr w:val="none" w:color="auto" w:sz="0" w:space="0"/>
              </w:rPr>
              <w:t>1</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0" w:type="dxa"/>
            <w:left w:w="0" w:type="dxa"/>
            <w:bottom w:w="0" w:type="dxa"/>
            <w:right w:w="0" w:type="dxa"/>
          </w:tblCellMar>
        </w:tblPrEx>
        <w:trPr>
          <w:trHeight w:val="375" w:hRule="atLeast"/>
          <w:tblCellSpacing w:w="0" w:type="dxa"/>
        </w:trPr>
        <w:tc>
          <w:tcPr>
            <w:tcW w:w="600" w:type="dxa"/>
            <w:tcBorders>
              <w:top w:val="nil"/>
              <w:left w:val="single" w:color="000000" w:sz="6" w:space="0"/>
              <w:bottom w:val="single" w:color="000000" w:sz="6" w:space="0"/>
              <w:right w:val="single" w:color="000000" w:sz="6" w:space="0"/>
            </w:tcBorders>
            <w:shd w:val="clear"/>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pPr>
            <w:r>
              <w:rPr>
                <w:rFonts w:hint="default" w:ascii="仿宋_gb2312" w:hAnsi="仿宋_gb2312" w:eastAsia="仿宋_gb2312" w:cs="仿宋_gb2312"/>
                <w:b w:val="0"/>
                <w:i w:val="0"/>
                <w:caps w:val="0"/>
                <w:color w:val="000000"/>
                <w:spacing w:val="0"/>
                <w:sz w:val="24"/>
                <w:szCs w:val="24"/>
                <w:bdr w:val="none" w:color="auto" w:sz="0" w:space="0"/>
              </w:rPr>
              <w:t>02</w:t>
            </w:r>
          </w:p>
        </w:tc>
        <w:tc>
          <w:tcPr>
            <w:tcW w:w="1217" w:type="dxa"/>
            <w:tcBorders>
              <w:top w:val="nil"/>
              <w:left w:val="nil"/>
              <w:bottom w:val="single" w:color="000000" w:sz="6" w:space="0"/>
              <w:right w:val="single" w:color="000000" w:sz="6" w:space="0"/>
            </w:tcBorders>
            <w:shd w:val="clear"/>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pPr>
            <w:r>
              <w:rPr>
                <w:rFonts w:hint="default" w:ascii="仿宋_gb2312" w:hAnsi="仿宋_gb2312" w:eastAsia="仿宋_gb2312" w:cs="仿宋_gb2312"/>
                <w:b w:val="0"/>
                <w:i w:val="0"/>
                <w:caps w:val="0"/>
                <w:color w:val="000000"/>
                <w:spacing w:val="0"/>
                <w:sz w:val="24"/>
                <w:szCs w:val="24"/>
                <w:bdr w:val="none" w:color="auto" w:sz="0" w:space="0"/>
              </w:rPr>
              <w:t>普</w:t>
            </w:r>
            <w:bookmarkStart w:id="0" w:name="OLE_LINK1"/>
            <w:r>
              <w:rPr>
                <w:rFonts w:hint="default" w:ascii="仿宋_gb2312" w:hAnsi="仿宋_gb2312" w:eastAsia="仿宋_gb2312" w:cs="仿宋_gb2312"/>
                <w:b w:val="0"/>
                <w:i w:val="0"/>
                <w:caps w:val="0"/>
                <w:color w:val="000000"/>
                <w:spacing w:val="0"/>
                <w:sz w:val="24"/>
                <w:szCs w:val="24"/>
                <w:u w:val="none"/>
                <w:bdr w:val="none" w:color="auto" w:sz="0" w:space="0"/>
              </w:rPr>
              <w:t>外科医师</w:t>
            </w:r>
            <w:bookmarkEnd w:id="0"/>
          </w:p>
        </w:tc>
        <w:tc>
          <w:tcPr>
            <w:tcW w:w="934" w:type="dxa"/>
            <w:tcBorders>
              <w:top w:val="nil"/>
              <w:left w:val="nil"/>
              <w:bottom w:val="single" w:color="000000" w:sz="6" w:space="0"/>
              <w:right w:val="single" w:color="000000" w:sz="6" w:space="0"/>
            </w:tcBorders>
            <w:shd w:val="clear"/>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pPr>
            <w:r>
              <w:rPr>
                <w:rFonts w:hint="default" w:ascii="仿宋_gb2312" w:hAnsi="仿宋_gb2312" w:eastAsia="仿宋_gb2312" w:cs="仿宋_gb2312"/>
                <w:b w:val="0"/>
                <w:i w:val="0"/>
                <w:caps w:val="0"/>
                <w:color w:val="000000"/>
                <w:spacing w:val="0"/>
                <w:sz w:val="24"/>
                <w:szCs w:val="24"/>
                <w:bdr w:val="none" w:color="auto" w:sz="0" w:space="0"/>
              </w:rPr>
              <w:t>专业技术岗</w:t>
            </w:r>
          </w:p>
        </w:tc>
        <w:tc>
          <w:tcPr>
            <w:tcW w:w="2819" w:type="dxa"/>
            <w:tcBorders>
              <w:top w:val="nil"/>
              <w:left w:val="nil"/>
              <w:bottom w:val="single" w:color="000000" w:sz="6" w:space="0"/>
              <w:right w:val="single" w:color="000000" w:sz="6" w:space="0"/>
            </w:tcBorders>
            <w:shd w:val="clear"/>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pPr>
            <w:r>
              <w:rPr>
                <w:rFonts w:hint="default" w:ascii="仿宋_gb2312" w:hAnsi="仿宋_gb2312" w:eastAsia="仿宋_gb2312" w:cs="仿宋_gb2312"/>
                <w:b w:val="0"/>
                <w:i w:val="0"/>
                <w:caps w:val="0"/>
                <w:color w:val="000000"/>
                <w:spacing w:val="0"/>
                <w:sz w:val="24"/>
                <w:szCs w:val="24"/>
                <w:bdr w:val="none" w:color="auto" w:sz="0" w:space="0"/>
              </w:rPr>
              <w:t>外科学</w:t>
            </w:r>
          </w:p>
        </w:tc>
        <w:tc>
          <w:tcPr>
            <w:tcW w:w="726" w:type="dxa"/>
            <w:tcBorders>
              <w:top w:val="nil"/>
              <w:left w:val="nil"/>
              <w:bottom w:val="single" w:color="000000" w:sz="6" w:space="0"/>
              <w:right w:val="single" w:color="000000" w:sz="6" w:space="0"/>
            </w:tcBorders>
            <w:shd w:val="clear"/>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pPr>
            <w:r>
              <w:rPr>
                <w:rFonts w:hint="default" w:ascii="仿宋_gb2312" w:hAnsi="仿宋_gb2312" w:eastAsia="仿宋_gb2312" w:cs="仿宋_gb2312"/>
                <w:b w:val="0"/>
                <w:i w:val="0"/>
                <w:caps w:val="0"/>
                <w:color w:val="000000"/>
                <w:spacing w:val="0"/>
                <w:sz w:val="24"/>
                <w:szCs w:val="24"/>
                <w:bdr w:val="none" w:color="auto" w:sz="0" w:space="0"/>
              </w:rPr>
              <w:t>研究生</w:t>
            </w:r>
          </w:p>
        </w:tc>
        <w:tc>
          <w:tcPr>
            <w:tcW w:w="1500" w:type="dxa"/>
            <w:tcBorders>
              <w:top w:val="nil"/>
              <w:left w:val="nil"/>
              <w:bottom w:val="single" w:color="000000" w:sz="6" w:space="0"/>
              <w:right w:val="single" w:color="000000" w:sz="6" w:space="0"/>
            </w:tcBorders>
            <w:shd w:val="clear"/>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pPr>
            <w:r>
              <w:rPr>
                <w:rFonts w:hint="default" w:ascii="仿宋_gb2312" w:hAnsi="仿宋_gb2312" w:eastAsia="仿宋_gb2312" w:cs="仿宋_gb2312"/>
                <w:b w:val="0"/>
                <w:i w:val="0"/>
                <w:caps w:val="0"/>
                <w:color w:val="000000"/>
                <w:spacing w:val="0"/>
                <w:sz w:val="24"/>
                <w:szCs w:val="24"/>
                <w:bdr w:val="none" w:color="auto" w:sz="0" w:space="0"/>
              </w:rPr>
              <w:t>博士</w:t>
            </w:r>
          </w:p>
        </w:tc>
        <w:tc>
          <w:tcPr>
            <w:tcW w:w="716" w:type="dxa"/>
            <w:tcBorders>
              <w:top w:val="nil"/>
              <w:left w:val="nil"/>
              <w:bottom w:val="single" w:color="000000" w:sz="6" w:space="0"/>
              <w:right w:val="single" w:color="000000" w:sz="6" w:space="0"/>
            </w:tcBorders>
            <w:shd w:val="clear"/>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pPr>
            <w:r>
              <w:rPr>
                <w:rFonts w:hint="default" w:ascii="仿宋_gb2312" w:hAnsi="仿宋_gb2312" w:eastAsia="仿宋_gb2312" w:cs="仿宋_gb2312"/>
                <w:b w:val="0"/>
                <w:i w:val="0"/>
                <w:caps w:val="0"/>
                <w:color w:val="000000"/>
                <w:spacing w:val="0"/>
                <w:sz w:val="24"/>
                <w:szCs w:val="24"/>
                <w:bdr w:val="none" w:color="auto" w:sz="0" w:space="0"/>
              </w:rPr>
              <w:t>1</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0" w:type="dxa"/>
            <w:left w:w="0" w:type="dxa"/>
            <w:bottom w:w="0" w:type="dxa"/>
            <w:right w:w="0" w:type="dxa"/>
          </w:tblCellMar>
        </w:tblPrEx>
        <w:trPr>
          <w:trHeight w:val="375" w:hRule="atLeast"/>
          <w:tblCellSpacing w:w="0" w:type="dxa"/>
        </w:trPr>
        <w:tc>
          <w:tcPr>
            <w:tcW w:w="600" w:type="dxa"/>
            <w:tcBorders>
              <w:top w:val="nil"/>
              <w:left w:val="single" w:color="000000" w:sz="6" w:space="0"/>
              <w:bottom w:val="single" w:color="000000" w:sz="6" w:space="0"/>
              <w:right w:val="single" w:color="000000" w:sz="6" w:space="0"/>
            </w:tcBorders>
            <w:shd w:val="clear"/>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pPr>
            <w:r>
              <w:rPr>
                <w:rFonts w:hint="default" w:ascii="仿宋_gb2312" w:hAnsi="仿宋_gb2312" w:eastAsia="仿宋_gb2312" w:cs="仿宋_gb2312"/>
                <w:b w:val="0"/>
                <w:i w:val="0"/>
                <w:caps w:val="0"/>
                <w:color w:val="000000"/>
                <w:spacing w:val="0"/>
                <w:sz w:val="24"/>
                <w:szCs w:val="24"/>
                <w:bdr w:val="none" w:color="auto" w:sz="0" w:space="0"/>
              </w:rPr>
              <w:t>03</w:t>
            </w:r>
          </w:p>
        </w:tc>
        <w:tc>
          <w:tcPr>
            <w:tcW w:w="1217" w:type="dxa"/>
            <w:tcBorders>
              <w:top w:val="nil"/>
              <w:left w:val="nil"/>
              <w:bottom w:val="single" w:color="000000" w:sz="6" w:space="0"/>
              <w:right w:val="single" w:color="000000" w:sz="6" w:space="0"/>
            </w:tcBorders>
            <w:shd w:val="clear"/>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pPr>
            <w:r>
              <w:rPr>
                <w:rFonts w:hint="default" w:ascii="仿宋_gb2312" w:hAnsi="仿宋_gb2312" w:eastAsia="仿宋_gb2312" w:cs="仿宋_gb2312"/>
                <w:b w:val="0"/>
                <w:i w:val="0"/>
                <w:caps w:val="0"/>
                <w:color w:val="000000"/>
                <w:spacing w:val="0"/>
                <w:sz w:val="24"/>
                <w:szCs w:val="24"/>
                <w:bdr w:val="none" w:color="auto" w:sz="0" w:space="0"/>
              </w:rPr>
              <w:t>胸外科医师</w:t>
            </w:r>
          </w:p>
        </w:tc>
        <w:tc>
          <w:tcPr>
            <w:tcW w:w="934" w:type="dxa"/>
            <w:tcBorders>
              <w:top w:val="nil"/>
              <w:left w:val="nil"/>
              <w:bottom w:val="single" w:color="000000" w:sz="6" w:space="0"/>
              <w:right w:val="single" w:color="000000" w:sz="6" w:space="0"/>
            </w:tcBorders>
            <w:shd w:val="clear"/>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pPr>
            <w:r>
              <w:rPr>
                <w:rFonts w:hint="default" w:ascii="仿宋_gb2312" w:hAnsi="仿宋_gb2312" w:eastAsia="仿宋_gb2312" w:cs="仿宋_gb2312"/>
                <w:b w:val="0"/>
                <w:i w:val="0"/>
                <w:caps w:val="0"/>
                <w:color w:val="000000"/>
                <w:spacing w:val="0"/>
                <w:sz w:val="24"/>
                <w:szCs w:val="24"/>
                <w:bdr w:val="none" w:color="auto" w:sz="0" w:space="0"/>
              </w:rPr>
              <w:t>专业技术岗</w:t>
            </w:r>
          </w:p>
        </w:tc>
        <w:tc>
          <w:tcPr>
            <w:tcW w:w="2819" w:type="dxa"/>
            <w:tcBorders>
              <w:top w:val="nil"/>
              <w:left w:val="nil"/>
              <w:bottom w:val="single" w:color="000000" w:sz="6" w:space="0"/>
              <w:right w:val="single" w:color="000000" w:sz="6" w:space="0"/>
            </w:tcBorders>
            <w:shd w:val="clear"/>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pPr>
            <w:r>
              <w:rPr>
                <w:rFonts w:hint="default" w:ascii="仿宋_gb2312" w:hAnsi="仿宋_gb2312" w:eastAsia="仿宋_gb2312" w:cs="仿宋_gb2312"/>
                <w:b w:val="0"/>
                <w:i w:val="0"/>
                <w:caps w:val="0"/>
                <w:color w:val="000000"/>
                <w:spacing w:val="0"/>
                <w:sz w:val="24"/>
                <w:szCs w:val="24"/>
                <w:bdr w:val="none" w:color="auto" w:sz="0" w:space="0"/>
              </w:rPr>
              <w:t>外科学</w:t>
            </w:r>
          </w:p>
        </w:tc>
        <w:tc>
          <w:tcPr>
            <w:tcW w:w="726" w:type="dxa"/>
            <w:tcBorders>
              <w:top w:val="nil"/>
              <w:left w:val="nil"/>
              <w:bottom w:val="single" w:color="000000" w:sz="6" w:space="0"/>
              <w:right w:val="single" w:color="000000" w:sz="6" w:space="0"/>
            </w:tcBorders>
            <w:shd w:val="clear"/>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pPr>
            <w:r>
              <w:rPr>
                <w:rFonts w:hint="default" w:ascii="仿宋_gb2312" w:hAnsi="仿宋_gb2312" w:eastAsia="仿宋_gb2312" w:cs="仿宋_gb2312"/>
                <w:b w:val="0"/>
                <w:i w:val="0"/>
                <w:caps w:val="0"/>
                <w:color w:val="000000"/>
                <w:spacing w:val="0"/>
                <w:sz w:val="24"/>
                <w:szCs w:val="24"/>
                <w:bdr w:val="none" w:color="auto" w:sz="0" w:space="0"/>
              </w:rPr>
              <w:t>研究生</w:t>
            </w:r>
          </w:p>
        </w:tc>
        <w:tc>
          <w:tcPr>
            <w:tcW w:w="1500" w:type="dxa"/>
            <w:tcBorders>
              <w:top w:val="nil"/>
              <w:left w:val="nil"/>
              <w:bottom w:val="single" w:color="000000" w:sz="6" w:space="0"/>
              <w:right w:val="single" w:color="000000" w:sz="6" w:space="0"/>
            </w:tcBorders>
            <w:shd w:val="clear"/>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pPr>
            <w:r>
              <w:rPr>
                <w:rFonts w:hint="default" w:ascii="仿宋_gb2312" w:hAnsi="仿宋_gb2312" w:eastAsia="仿宋_gb2312" w:cs="仿宋_gb2312"/>
                <w:b w:val="0"/>
                <w:i w:val="0"/>
                <w:caps w:val="0"/>
                <w:color w:val="000000"/>
                <w:spacing w:val="0"/>
                <w:sz w:val="24"/>
                <w:szCs w:val="24"/>
                <w:bdr w:val="none" w:color="auto" w:sz="0" w:space="0"/>
              </w:rPr>
              <w:t>博士</w:t>
            </w:r>
          </w:p>
        </w:tc>
        <w:tc>
          <w:tcPr>
            <w:tcW w:w="716" w:type="dxa"/>
            <w:tcBorders>
              <w:top w:val="nil"/>
              <w:left w:val="nil"/>
              <w:bottom w:val="single" w:color="000000" w:sz="6" w:space="0"/>
              <w:right w:val="single" w:color="000000" w:sz="6" w:space="0"/>
            </w:tcBorders>
            <w:shd w:val="clear"/>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pPr>
            <w:r>
              <w:rPr>
                <w:rFonts w:hint="default" w:ascii="仿宋_gb2312" w:hAnsi="仿宋_gb2312" w:eastAsia="仿宋_gb2312" w:cs="仿宋_gb2312"/>
                <w:b w:val="0"/>
                <w:i w:val="0"/>
                <w:caps w:val="0"/>
                <w:color w:val="000000"/>
                <w:spacing w:val="0"/>
                <w:sz w:val="24"/>
                <w:szCs w:val="24"/>
                <w:bdr w:val="none" w:color="auto" w:sz="0" w:space="0"/>
              </w:rPr>
              <w:t>1</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0" w:type="dxa"/>
            <w:left w:w="0" w:type="dxa"/>
            <w:bottom w:w="0" w:type="dxa"/>
            <w:right w:w="0" w:type="dxa"/>
          </w:tblCellMar>
        </w:tblPrEx>
        <w:trPr>
          <w:trHeight w:val="375" w:hRule="atLeast"/>
          <w:tblCellSpacing w:w="0" w:type="dxa"/>
        </w:trPr>
        <w:tc>
          <w:tcPr>
            <w:tcW w:w="600" w:type="dxa"/>
            <w:tcBorders>
              <w:top w:val="nil"/>
              <w:left w:val="single" w:color="000000" w:sz="6" w:space="0"/>
              <w:bottom w:val="single" w:color="000000" w:sz="6" w:space="0"/>
              <w:right w:val="single" w:color="000000" w:sz="6" w:space="0"/>
            </w:tcBorders>
            <w:shd w:val="clear"/>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pPr>
            <w:r>
              <w:rPr>
                <w:rFonts w:hint="default" w:ascii="仿宋_gb2312" w:hAnsi="仿宋_gb2312" w:eastAsia="仿宋_gb2312" w:cs="仿宋_gb2312"/>
                <w:b w:val="0"/>
                <w:i w:val="0"/>
                <w:caps w:val="0"/>
                <w:color w:val="000000"/>
                <w:spacing w:val="0"/>
                <w:sz w:val="24"/>
                <w:szCs w:val="24"/>
                <w:bdr w:val="none" w:color="auto" w:sz="0" w:space="0"/>
              </w:rPr>
              <w:t>04</w:t>
            </w:r>
          </w:p>
        </w:tc>
        <w:tc>
          <w:tcPr>
            <w:tcW w:w="1217" w:type="dxa"/>
            <w:tcBorders>
              <w:top w:val="nil"/>
              <w:left w:val="nil"/>
              <w:bottom w:val="single" w:color="000000" w:sz="6" w:space="0"/>
              <w:right w:val="single" w:color="000000" w:sz="6" w:space="0"/>
            </w:tcBorders>
            <w:shd w:val="clear"/>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pPr>
            <w:r>
              <w:rPr>
                <w:rFonts w:hint="default" w:ascii="仿宋_gb2312" w:hAnsi="仿宋_gb2312" w:eastAsia="仿宋_gb2312" w:cs="仿宋_gb2312"/>
                <w:b w:val="0"/>
                <w:i w:val="0"/>
                <w:caps w:val="0"/>
                <w:color w:val="000000"/>
                <w:spacing w:val="0"/>
                <w:sz w:val="24"/>
                <w:szCs w:val="24"/>
                <w:bdr w:val="none" w:color="auto" w:sz="0" w:space="0"/>
              </w:rPr>
              <w:t>泌尿外科医师</w:t>
            </w:r>
          </w:p>
        </w:tc>
        <w:tc>
          <w:tcPr>
            <w:tcW w:w="934" w:type="dxa"/>
            <w:tcBorders>
              <w:top w:val="nil"/>
              <w:left w:val="nil"/>
              <w:bottom w:val="single" w:color="000000" w:sz="6" w:space="0"/>
              <w:right w:val="single" w:color="000000" w:sz="6" w:space="0"/>
            </w:tcBorders>
            <w:shd w:val="clear"/>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pPr>
            <w:r>
              <w:rPr>
                <w:rFonts w:hint="default" w:ascii="仿宋_gb2312" w:hAnsi="仿宋_gb2312" w:eastAsia="仿宋_gb2312" w:cs="仿宋_gb2312"/>
                <w:b w:val="0"/>
                <w:i w:val="0"/>
                <w:caps w:val="0"/>
                <w:color w:val="000000"/>
                <w:spacing w:val="0"/>
                <w:sz w:val="24"/>
                <w:szCs w:val="24"/>
                <w:bdr w:val="none" w:color="auto" w:sz="0" w:space="0"/>
              </w:rPr>
              <w:t>专业技术岗</w:t>
            </w:r>
          </w:p>
        </w:tc>
        <w:tc>
          <w:tcPr>
            <w:tcW w:w="2819" w:type="dxa"/>
            <w:tcBorders>
              <w:top w:val="nil"/>
              <w:left w:val="nil"/>
              <w:bottom w:val="single" w:color="000000" w:sz="6" w:space="0"/>
              <w:right w:val="single" w:color="000000" w:sz="6" w:space="0"/>
            </w:tcBorders>
            <w:shd w:val="clear"/>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pPr>
            <w:r>
              <w:rPr>
                <w:rFonts w:hint="default" w:ascii="仿宋_gb2312" w:hAnsi="仿宋_gb2312" w:eastAsia="仿宋_gb2312" w:cs="仿宋_gb2312"/>
                <w:b w:val="0"/>
                <w:i w:val="0"/>
                <w:caps w:val="0"/>
                <w:color w:val="000000"/>
                <w:spacing w:val="0"/>
                <w:sz w:val="24"/>
                <w:szCs w:val="24"/>
                <w:bdr w:val="none" w:color="auto" w:sz="0" w:space="0"/>
              </w:rPr>
              <w:t>外科学</w:t>
            </w:r>
          </w:p>
        </w:tc>
        <w:tc>
          <w:tcPr>
            <w:tcW w:w="726" w:type="dxa"/>
            <w:tcBorders>
              <w:top w:val="nil"/>
              <w:left w:val="nil"/>
              <w:bottom w:val="single" w:color="000000" w:sz="6" w:space="0"/>
              <w:right w:val="single" w:color="000000" w:sz="6" w:space="0"/>
            </w:tcBorders>
            <w:shd w:val="clear"/>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pPr>
            <w:r>
              <w:rPr>
                <w:rFonts w:hint="default" w:ascii="仿宋_gb2312" w:hAnsi="仿宋_gb2312" w:eastAsia="仿宋_gb2312" w:cs="仿宋_gb2312"/>
                <w:b w:val="0"/>
                <w:i w:val="0"/>
                <w:caps w:val="0"/>
                <w:color w:val="000000"/>
                <w:spacing w:val="0"/>
                <w:sz w:val="24"/>
                <w:szCs w:val="24"/>
                <w:bdr w:val="none" w:color="auto" w:sz="0" w:space="0"/>
              </w:rPr>
              <w:t>研究生</w:t>
            </w:r>
          </w:p>
        </w:tc>
        <w:tc>
          <w:tcPr>
            <w:tcW w:w="1500" w:type="dxa"/>
            <w:tcBorders>
              <w:top w:val="nil"/>
              <w:left w:val="nil"/>
              <w:bottom w:val="single" w:color="000000" w:sz="6" w:space="0"/>
              <w:right w:val="single" w:color="000000" w:sz="6" w:space="0"/>
            </w:tcBorders>
            <w:shd w:val="clear"/>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pPr>
            <w:r>
              <w:rPr>
                <w:rFonts w:hint="default" w:ascii="仿宋_gb2312" w:hAnsi="仿宋_gb2312" w:eastAsia="仿宋_gb2312" w:cs="仿宋_gb2312"/>
                <w:b w:val="0"/>
                <w:i w:val="0"/>
                <w:caps w:val="0"/>
                <w:color w:val="000000"/>
                <w:spacing w:val="0"/>
                <w:sz w:val="24"/>
                <w:szCs w:val="24"/>
                <w:bdr w:val="none" w:color="auto" w:sz="0" w:space="0"/>
              </w:rPr>
              <w:t>博士</w:t>
            </w:r>
          </w:p>
        </w:tc>
        <w:tc>
          <w:tcPr>
            <w:tcW w:w="716" w:type="dxa"/>
            <w:tcBorders>
              <w:top w:val="nil"/>
              <w:left w:val="nil"/>
              <w:bottom w:val="single" w:color="000000" w:sz="6" w:space="0"/>
              <w:right w:val="single" w:color="000000" w:sz="6" w:space="0"/>
            </w:tcBorders>
            <w:shd w:val="clear"/>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pPr>
            <w:r>
              <w:rPr>
                <w:rFonts w:hint="default" w:ascii="仿宋_gb2312" w:hAnsi="仿宋_gb2312" w:eastAsia="仿宋_gb2312" w:cs="仿宋_gb2312"/>
                <w:b w:val="0"/>
                <w:i w:val="0"/>
                <w:caps w:val="0"/>
                <w:color w:val="000000"/>
                <w:spacing w:val="0"/>
                <w:sz w:val="24"/>
                <w:szCs w:val="24"/>
                <w:bdr w:val="none" w:color="auto" w:sz="0" w:space="0"/>
              </w:rPr>
              <w:t>1</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0" w:type="dxa"/>
            <w:left w:w="0" w:type="dxa"/>
            <w:bottom w:w="0" w:type="dxa"/>
            <w:right w:w="0" w:type="dxa"/>
          </w:tblCellMar>
        </w:tblPrEx>
        <w:trPr>
          <w:trHeight w:val="375" w:hRule="atLeast"/>
          <w:tblCellSpacing w:w="0" w:type="dxa"/>
        </w:trPr>
        <w:tc>
          <w:tcPr>
            <w:tcW w:w="600" w:type="dxa"/>
            <w:tcBorders>
              <w:top w:val="nil"/>
              <w:left w:val="single" w:color="000000" w:sz="6" w:space="0"/>
              <w:bottom w:val="single" w:color="000000" w:sz="6" w:space="0"/>
              <w:right w:val="single" w:color="000000" w:sz="6" w:space="0"/>
            </w:tcBorders>
            <w:shd w:val="clear"/>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pPr>
            <w:r>
              <w:rPr>
                <w:rFonts w:hint="default" w:ascii="仿宋_gb2312" w:hAnsi="仿宋_gb2312" w:eastAsia="仿宋_gb2312" w:cs="仿宋_gb2312"/>
                <w:b w:val="0"/>
                <w:i w:val="0"/>
                <w:caps w:val="0"/>
                <w:color w:val="000000"/>
                <w:spacing w:val="0"/>
                <w:sz w:val="24"/>
                <w:szCs w:val="24"/>
                <w:bdr w:val="none" w:color="auto" w:sz="0" w:space="0"/>
              </w:rPr>
              <w:t>05</w:t>
            </w:r>
          </w:p>
        </w:tc>
        <w:tc>
          <w:tcPr>
            <w:tcW w:w="1217" w:type="dxa"/>
            <w:tcBorders>
              <w:top w:val="nil"/>
              <w:left w:val="nil"/>
              <w:bottom w:val="single" w:color="000000" w:sz="6" w:space="0"/>
              <w:right w:val="single" w:color="000000" w:sz="6" w:space="0"/>
            </w:tcBorders>
            <w:shd w:val="clear"/>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pPr>
            <w:r>
              <w:rPr>
                <w:rFonts w:hint="default" w:ascii="仿宋_gb2312" w:hAnsi="仿宋_gb2312" w:eastAsia="仿宋_gb2312" w:cs="仿宋_gb2312"/>
                <w:b w:val="0"/>
                <w:i w:val="0"/>
                <w:caps w:val="0"/>
                <w:color w:val="000000"/>
                <w:spacing w:val="0"/>
                <w:sz w:val="24"/>
                <w:szCs w:val="24"/>
                <w:bdr w:val="none" w:color="auto" w:sz="0" w:space="0"/>
              </w:rPr>
              <w:t>呼吸内科医师</w:t>
            </w:r>
          </w:p>
        </w:tc>
        <w:tc>
          <w:tcPr>
            <w:tcW w:w="934" w:type="dxa"/>
            <w:tcBorders>
              <w:top w:val="nil"/>
              <w:left w:val="nil"/>
              <w:bottom w:val="single" w:color="000000" w:sz="6" w:space="0"/>
              <w:right w:val="single" w:color="000000" w:sz="6" w:space="0"/>
            </w:tcBorders>
            <w:shd w:val="clear"/>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pPr>
            <w:r>
              <w:rPr>
                <w:rFonts w:hint="default" w:ascii="仿宋_gb2312" w:hAnsi="仿宋_gb2312" w:eastAsia="仿宋_gb2312" w:cs="仿宋_gb2312"/>
                <w:b w:val="0"/>
                <w:i w:val="0"/>
                <w:caps w:val="0"/>
                <w:color w:val="000000"/>
                <w:spacing w:val="0"/>
                <w:sz w:val="24"/>
                <w:szCs w:val="24"/>
                <w:bdr w:val="none" w:color="auto" w:sz="0" w:space="0"/>
              </w:rPr>
              <w:t>专业技术岗</w:t>
            </w:r>
          </w:p>
        </w:tc>
        <w:tc>
          <w:tcPr>
            <w:tcW w:w="2819" w:type="dxa"/>
            <w:tcBorders>
              <w:top w:val="nil"/>
              <w:left w:val="nil"/>
              <w:bottom w:val="single" w:color="000000" w:sz="6" w:space="0"/>
              <w:right w:val="single" w:color="000000" w:sz="6" w:space="0"/>
            </w:tcBorders>
            <w:shd w:val="clear"/>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pPr>
            <w:r>
              <w:rPr>
                <w:rFonts w:hint="default" w:ascii="仿宋_gb2312" w:hAnsi="仿宋_gb2312" w:eastAsia="仿宋_gb2312" w:cs="仿宋_gb2312"/>
                <w:b w:val="0"/>
                <w:i w:val="0"/>
                <w:caps w:val="0"/>
                <w:color w:val="000000"/>
                <w:spacing w:val="0"/>
                <w:sz w:val="24"/>
                <w:szCs w:val="24"/>
                <w:bdr w:val="none" w:color="auto" w:sz="0" w:space="0"/>
              </w:rPr>
              <w:t>内科学</w:t>
            </w:r>
          </w:p>
        </w:tc>
        <w:tc>
          <w:tcPr>
            <w:tcW w:w="726" w:type="dxa"/>
            <w:tcBorders>
              <w:top w:val="nil"/>
              <w:left w:val="nil"/>
              <w:bottom w:val="single" w:color="000000" w:sz="6" w:space="0"/>
              <w:right w:val="single" w:color="000000" w:sz="6" w:space="0"/>
            </w:tcBorders>
            <w:shd w:val="clear"/>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pPr>
            <w:r>
              <w:rPr>
                <w:rFonts w:hint="default" w:ascii="仿宋_gb2312" w:hAnsi="仿宋_gb2312" w:eastAsia="仿宋_gb2312" w:cs="仿宋_gb2312"/>
                <w:b w:val="0"/>
                <w:i w:val="0"/>
                <w:caps w:val="0"/>
                <w:color w:val="000000"/>
                <w:spacing w:val="0"/>
                <w:sz w:val="24"/>
                <w:szCs w:val="24"/>
                <w:bdr w:val="none" w:color="auto" w:sz="0" w:space="0"/>
              </w:rPr>
              <w:t>研究生</w:t>
            </w:r>
          </w:p>
        </w:tc>
        <w:tc>
          <w:tcPr>
            <w:tcW w:w="1500" w:type="dxa"/>
            <w:tcBorders>
              <w:top w:val="nil"/>
              <w:left w:val="nil"/>
              <w:bottom w:val="single" w:color="000000" w:sz="6" w:space="0"/>
              <w:right w:val="single" w:color="000000" w:sz="6" w:space="0"/>
            </w:tcBorders>
            <w:shd w:val="clear"/>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pPr>
            <w:r>
              <w:rPr>
                <w:rFonts w:hint="default" w:ascii="仿宋_gb2312" w:hAnsi="仿宋_gb2312" w:eastAsia="仿宋_gb2312" w:cs="仿宋_gb2312"/>
                <w:b w:val="0"/>
                <w:i w:val="0"/>
                <w:caps w:val="0"/>
                <w:color w:val="000000"/>
                <w:spacing w:val="0"/>
                <w:sz w:val="24"/>
                <w:szCs w:val="24"/>
                <w:bdr w:val="none" w:color="auto" w:sz="0" w:space="0"/>
              </w:rPr>
              <w:t>博士</w:t>
            </w:r>
          </w:p>
        </w:tc>
        <w:tc>
          <w:tcPr>
            <w:tcW w:w="716" w:type="dxa"/>
            <w:tcBorders>
              <w:top w:val="nil"/>
              <w:left w:val="nil"/>
              <w:bottom w:val="single" w:color="000000" w:sz="6" w:space="0"/>
              <w:right w:val="single" w:color="000000" w:sz="6" w:space="0"/>
            </w:tcBorders>
            <w:shd w:val="clear"/>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pPr>
            <w:r>
              <w:rPr>
                <w:rFonts w:hint="default" w:ascii="仿宋_gb2312" w:hAnsi="仿宋_gb2312" w:eastAsia="仿宋_gb2312" w:cs="仿宋_gb2312"/>
                <w:b w:val="0"/>
                <w:i w:val="0"/>
                <w:caps w:val="0"/>
                <w:color w:val="000000"/>
                <w:spacing w:val="0"/>
                <w:sz w:val="24"/>
                <w:szCs w:val="24"/>
                <w:bdr w:val="none" w:color="auto" w:sz="0" w:space="0"/>
              </w:rPr>
              <w:t>1</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0" w:type="dxa"/>
            <w:left w:w="0" w:type="dxa"/>
            <w:bottom w:w="0" w:type="dxa"/>
            <w:right w:w="0" w:type="dxa"/>
          </w:tblCellMar>
        </w:tblPrEx>
        <w:trPr>
          <w:trHeight w:val="375" w:hRule="atLeast"/>
          <w:tblCellSpacing w:w="0" w:type="dxa"/>
        </w:trPr>
        <w:tc>
          <w:tcPr>
            <w:tcW w:w="600" w:type="dxa"/>
            <w:tcBorders>
              <w:top w:val="nil"/>
              <w:left w:val="single" w:color="000000" w:sz="6" w:space="0"/>
              <w:bottom w:val="single" w:color="000000" w:sz="6" w:space="0"/>
              <w:right w:val="single" w:color="000000" w:sz="6" w:space="0"/>
            </w:tcBorders>
            <w:shd w:val="clear"/>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pPr>
            <w:r>
              <w:rPr>
                <w:rFonts w:hint="default" w:ascii="仿宋_gb2312" w:hAnsi="仿宋_gb2312" w:eastAsia="仿宋_gb2312" w:cs="仿宋_gb2312"/>
                <w:b w:val="0"/>
                <w:i w:val="0"/>
                <w:caps w:val="0"/>
                <w:color w:val="000000"/>
                <w:spacing w:val="0"/>
                <w:sz w:val="24"/>
                <w:szCs w:val="24"/>
                <w:bdr w:val="none" w:color="auto" w:sz="0" w:space="0"/>
              </w:rPr>
              <w:t>06</w:t>
            </w:r>
          </w:p>
        </w:tc>
        <w:tc>
          <w:tcPr>
            <w:tcW w:w="1217" w:type="dxa"/>
            <w:tcBorders>
              <w:top w:val="nil"/>
              <w:left w:val="nil"/>
              <w:bottom w:val="single" w:color="000000" w:sz="6" w:space="0"/>
              <w:right w:val="single" w:color="000000" w:sz="6" w:space="0"/>
            </w:tcBorders>
            <w:shd w:val="clear"/>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pPr>
            <w:r>
              <w:rPr>
                <w:rFonts w:hint="default" w:ascii="仿宋_gb2312" w:hAnsi="仿宋_gb2312" w:eastAsia="仿宋_gb2312" w:cs="仿宋_gb2312"/>
                <w:b w:val="0"/>
                <w:i w:val="0"/>
                <w:caps w:val="0"/>
                <w:color w:val="000000"/>
                <w:spacing w:val="0"/>
                <w:sz w:val="24"/>
                <w:szCs w:val="24"/>
                <w:bdr w:val="none" w:color="auto" w:sz="0" w:space="0"/>
              </w:rPr>
              <w:t>神经内科医师</w:t>
            </w:r>
          </w:p>
        </w:tc>
        <w:tc>
          <w:tcPr>
            <w:tcW w:w="934" w:type="dxa"/>
            <w:tcBorders>
              <w:top w:val="nil"/>
              <w:left w:val="nil"/>
              <w:bottom w:val="single" w:color="000000" w:sz="6" w:space="0"/>
              <w:right w:val="single" w:color="000000" w:sz="6" w:space="0"/>
            </w:tcBorders>
            <w:shd w:val="clear"/>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pPr>
            <w:r>
              <w:rPr>
                <w:rFonts w:hint="default" w:ascii="仿宋_gb2312" w:hAnsi="仿宋_gb2312" w:eastAsia="仿宋_gb2312" w:cs="仿宋_gb2312"/>
                <w:b w:val="0"/>
                <w:i w:val="0"/>
                <w:caps w:val="0"/>
                <w:color w:val="000000"/>
                <w:spacing w:val="0"/>
                <w:sz w:val="24"/>
                <w:szCs w:val="24"/>
                <w:bdr w:val="none" w:color="auto" w:sz="0" w:space="0"/>
              </w:rPr>
              <w:t>专业技术岗</w:t>
            </w:r>
          </w:p>
        </w:tc>
        <w:tc>
          <w:tcPr>
            <w:tcW w:w="2819" w:type="dxa"/>
            <w:tcBorders>
              <w:top w:val="nil"/>
              <w:left w:val="nil"/>
              <w:bottom w:val="single" w:color="000000" w:sz="6" w:space="0"/>
              <w:right w:val="single" w:color="000000" w:sz="6" w:space="0"/>
            </w:tcBorders>
            <w:shd w:val="clear" w:color="auto" w:fill="FFFFFF"/>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pPr>
            <w:r>
              <w:rPr>
                <w:rFonts w:hint="default" w:ascii="仿宋_gb2312" w:hAnsi="仿宋_gb2312" w:eastAsia="仿宋_gb2312" w:cs="仿宋_gb2312"/>
                <w:b w:val="0"/>
                <w:i w:val="0"/>
                <w:caps w:val="0"/>
                <w:color w:val="000000"/>
                <w:spacing w:val="0"/>
                <w:sz w:val="24"/>
                <w:szCs w:val="24"/>
                <w:bdr w:val="none" w:color="auto" w:sz="0" w:space="0"/>
              </w:rPr>
              <w:t>内科学</w:t>
            </w:r>
          </w:p>
        </w:tc>
        <w:tc>
          <w:tcPr>
            <w:tcW w:w="726" w:type="dxa"/>
            <w:tcBorders>
              <w:top w:val="nil"/>
              <w:left w:val="nil"/>
              <w:bottom w:val="single" w:color="000000" w:sz="6" w:space="0"/>
              <w:right w:val="single" w:color="000000" w:sz="6" w:space="0"/>
            </w:tcBorders>
            <w:shd w:val="clear"/>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pPr>
            <w:r>
              <w:rPr>
                <w:rFonts w:hint="default" w:ascii="仿宋_gb2312" w:hAnsi="仿宋_gb2312" w:eastAsia="仿宋_gb2312" w:cs="仿宋_gb2312"/>
                <w:b w:val="0"/>
                <w:i w:val="0"/>
                <w:caps w:val="0"/>
                <w:color w:val="000000"/>
                <w:spacing w:val="0"/>
                <w:sz w:val="24"/>
                <w:szCs w:val="24"/>
                <w:bdr w:val="none" w:color="auto" w:sz="0" w:space="0"/>
              </w:rPr>
              <w:t>研究生</w:t>
            </w:r>
          </w:p>
        </w:tc>
        <w:tc>
          <w:tcPr>
            <w:tcW w:w="1500" w:type="dxa"/>
            <w:tcBorders>
              <w:top w:val="nil"/>
              <w:left w:val="nil"/>
              <w:bottom w:val="single" w:color="000000" w:sz="6" w:space="0"/>
              <w:right w:val="single" w:color="000000" w:sz="6" w:space="0"/>
            </w:tcBorders>
            <w:shd w:val="clear"/>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pPr>
            <w:r>
              <w:rPr>
                <w:rFonts w:hint="default" w:ascii="仿宋_gb2312" w:hAnsi="仿宋_gb2312" w:eastAsia="仿宋_gb2312" w:cs="仿宋_gb2312"/>
                <w:b w:val="0"/>
                <w:i w:val="0"/>
                <w:caps w:val="0"/>
                <w:color w:val="000000"/>
                <w:spacing w:val="0"/>
                <w:sz w:val="24"/>
                <w:szCs w:val="24"/>
                <w:bdr w:val="none" w:color="auto" w:sz="0" w:space="0"/>
              </w:rPr>
              <w:t>博士</w:t>
            </w:r>
          </w:p>
        </w:tc>
        <w:tc>
          <w:tcPr>
            <w:tcW w:w="716" w:type="dxa"/>
            <w:tcBorders>
              <w:top w:val="nil"/>
              <w:left w:val="nil"/>
              <w:bottom w:val="single" w:color="000000" w:sz="6" w:space="0"/>
              <w:right w:val="single" w:color="000000" w:sz="6" w:space="0"/>
            </w:tcBorders>
            <w:shd w:val="clear"/>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pPr>
            <w:r>
              <w:rPr>
                <w:rFonts w:hint="default" w:ascii="仿宋_gb2312" w:hAnsi="仿宋_gb2312" w:eastAsia="仿宋_gb2312" w:cs="仿宋_gb2312"/>
                <w:b w:val="0"/>
                <w:i w:val="0"/>
                <w:caps w:val="0"/>
                <w:color w:val="000000"/>
                <w:spacing w:val="0"/>
                <w:sz w:val="24"/>
                <w:szCs w:val="24"/>
                <w:bdr w:val="none" w:color="auto" w:sz="0" w:space="0"/>
              </w:rPr>
              <w:t>1</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0" w:type="dxa"/>
            <w:left w:w="0" w:type="dxa"/>
            <w:bottom w:w="0" w:type="dxa"/>
            <w:right w:w="0" w:type="dxa"/>
          </w:tblCellMar>
        </w:tblPrEx>
        <w:trPr>
          <w:trHeight w:val="375" w:hRule="atLeast"/>
          <w:tblCellSpacing w:w="0" w:type="dxa"/>
        </w:trPr>
        <w:tc>
          <w:tcPr>
            <w:tcW w:w="600" w:type="dxa"/>
            <w:tcBorders>
              <w:top w:val="nil"/>
              <w:left w:val="single" w:color="000000" w:sz="6" w:space="0"/>
              <w:bottom w:val="single" w:color="000000" w:sz="6" w:space="0"/>
              <w:right w:val="single" w:color="000000" w:sz="6" w:space="0"/>
            </w:tcBorders>
            <w:shd w:val="clear"/>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pPr>
            <w:r>
              <w:rPr>
                <w:rFonts w:hint="default" w:ascii="仿宋_gb2312" w:hAnsi="仿宋_gb2312" w:eastAsia="仿宋_gb2312" w:cs="仿宋_gb2312"/>
                <w:b w:val="0"/>
                <w:i w:val="0"/>
                <w:caps w:val="0"/>
                <w:color w:val="000000"/>
                <w:spacing w:val="0"/>
                <w:sz w:val="24"/>
                <w:szCs w:val="24"/>
                <w:bdr w:val="none" w:color="auto" w:sz="0" w:space="0"/>
              </w:rPr>
              <w:t>07</w:t>
            </w:r>
          </w:p>
        </w:tc>
        <w:tc>
          <w:tcPr>
            <w:tcW w:w="1217" w:type="dxa"/>
            <w:tcBorders>
              <w:top w:val="nil"/>
              <w:left w:val="nil"/>
              <w:bottom w:val="single" w:color="000000" w:sz="6" w:space="0"/>
              <w:right w:val="single" w:color="000000" w:sz="6" w:space="0"/>
            </w:tcBorders>
            <w:shd w:val="clear"/>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pPr>
            <w:r>
              <w:rPr>
                <w:rFonts w:hint="default" w:ascii="仿宋_gb2312" w:hAnsi="仿宋_gb2312" w:eastAsia="仿宋_gb2312" w:cs="仿宋_gb2312"/>
                <w:b w:val="0"/>
                <w:i w:val="0"/>
                <w:caps w:val="0"/>
                <w:color w:val="000000"/>
                <w:spacing w:val="0"/>
                <w:sz w:val="24"/>
                <w:szCs w:val="24"/>
                <w:bdr w:val="none" w:color="auto" w:sz="0" w:space="0"/>
              </w:rPr>
              <w:t>身心健康科医师</w:t>
            </w:r>
          </w:p>
        </w:tc>
        <w:tc>
          <w:tcPr>
            <w:tcW w:w="934" w:type="dxa"/>
            <w:tcBorders>
              <w:top w:val="nil"/>
              <w:left w:val="nil"/>
              <w:bottom w:val="single" w:color="000000" w:sz="6" w:space="0"/>
              <w:right w:val="single" w:color="000000" w:sz="6" w:space="0"/>
            </w:tcBorders>
            <w:shd w:val="clear"/>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pPr>
            <w:r>
              <w:rPr>
                <w:rFonts w:hint="default" w:ascii="仿宋_gb2312" w:hAnsi="仿宋_gb2312" w:eastAsia="仿宋_gb2312" w:cs="仿宋_gb2312"/>
                <w:b w:val="0"/>
                <w:i w:val="0"/>
                <w:caps w:val="0"/>
                <w:color w:val="000000"/>
                <w:spacing w:val="0"/>
                <w:sz w:val="24"/>
                <w:szCs w:val="24"/>
                <w:bdr w:val="none" w:color="auto" w:sz="0" w:space="0"/>
              </w:rPr>
              <w:t>专业技术岗</w:t>
            </w:r>
          </w:p>
        </w:tc>
        <w:tc>
          <w:tcPr>
            <w:tcW w:w="2819" w:type="dxa"/>
            <w:tcBorders>
              <w:top w:val="nil"/>
              <w:left w:val="nil"/>
              <w:bottom w:val="single" w:color="000000" w:sz="6" w:space="0"/>
              <w:right w:val="single" w:color="000000" w:sz="6" w:space="0"/>
            </w:tcBorders>
            <w:shd w:val="clear" w:color="auto" w:fill="FFFFFF"/>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pPr>
            <w:r>
              <w:rPr>
                <w:rFonts w:hint="default" w:ascii="仿宋_gb2312" w:hAnsi="仿宋_gb2312" w:eastAsia="仿宋_gb2312" w:cs="仿宋_gb2312"/>
                <w:b w:val="0"/>
                <w:i w:val="0"/>
                <w:caps w:val="0"/>
                <w:color w:val="000000"/>
                <w:spacing w:val="0"/>
                <w:sz w:val="24"/>
                <w:szCs w:val="24"/>
                <w:bdr w:val="none" w:color="auto" w:sz="0" w:space="0"/>
              </w:rPr>
              <w:t>　</w:t>
            </w:r>
            <w:r>
              <w:rPr>
                <w:rFonts w:hint="default" w:ascii="仿宋_gb2312" w:hAnsi="仿宋_gb2312" w:eastAsia="仿宋_gb2312" w:cs="仿宋_gb2312"/>
                <w:b w:val="0"/>
                <w:i w:val="0"/>
                <w:caps w:val="0"/>
                <w:color w:val="000000"/>
                <w:spacing w:val="0"/>
                <w:sz w:val="24"/>
                <w:szCs w:val="24"/>
                <w:u w:val="none"/>
                <w:bdr w:val="none" w:color="auto" w:sz="0" w:space="0"/>
              </w:rPr>
              <w:fldChar w:fldCharType="begin"/>
            </w:r>
            <w:r>
              <w:rPr>
                <w:rFonts w:hint="default" w:ascii="仿宋_gb2312" w:hAnsi="仿宋_gb2312" w:eastAsia="仿宋_gb2312" w:cs="仿宋_gb2312"/>
                <w:b w:val="0"/>
                <w:i w:val="0"/>
                <w:caps w:val="0"/>
                <w:color w:val="000000"/>
                <w:spacing w:val="0"/>
                <w:sz w:val="24"/>
                <w:szCs w:val="24"/>
                <w:u w:val="none"/>
                <w:bdr w:val="none" w:color="auto" w:sz="0" w:space="0"/>
              </w:rPr>
              <w:instrText xml:space="preserve"> HYPERLINK "http://souky.eol.cn/pro_search.php?searchword=%BE%AB%C9%F1%B2%A1%D3%EB%BE%AB%C9%F1%CE%C0%C9%FA%D1%A7&amp;searchtype=schoolpro&amp;pronamecode=100205" \t "http://www.jstzhospital.com/contents/15/_blank" </w:instrText>
            </w:r>
            <w:r>
              <w:rPr>
                <w:rFonts w:hint="default" w:ascii="仿宋_gb2312" w:hAnsi="仿宋_gb2312" w:eastAsia="仿宋_gb2312" w:cs="仿宋_gb2312"/>
                <w:b w:val="0"/>
                <w:i w:val="0"/>
                <w:caps w:val="0"/>
                <w:color w:val="000000"/>
                <w:spacing w:val="0"/>
                <w:sz w:val="24"/>
                <w:szCs w:val="24"/>
                <w:u w:val="none"/>
                <w:bdr w:val="none" w:color="auto" w:sz="0" w:space="0"/>
              </w:rPr>
              <w:fldChar w:fldCharType="separate"/>
            </w:r>
            <w:r>
              <w:rPr>
                <w:rStyle w:val="6"/>
                <w:rFonts w:hint="default" w:ascii="仿宋_gb2312" w:hAnsi="仿宋_gb2312" w:eastAsia="仿宋_gb2312" w:cs="仿宋_gb2312"/>
                <w:b w:val="0"/>
                <w:i w:val="0"/>
                <w:caps w:val="0"/>
                <w:color w:val="000000"/>
                <w:spacing w:val="0"/>
                <w:sz w:val="24"/>
                <w:szCs w:val="24"/>
                <w:u w:val="none"/>
                <w:bdr w:val="none" w:color="auto" w:sz="0" w:space="0"/>
              </w:rPr>
              <w:t>精神病与精神卫生学</w:t>
            </w:r>
            <w:r>
              <w:rPr>
                <w:rFonts w:hint="default" w:ascii="仿宋_gb2312" w:hAnsi="仿宋_gb2312" w:eastAsia="仿宋_gb2312" w:cs="仿宋_gb2312"/>
                <w:b w:val="0"/>
                <w:i w:val="0"/>
                <w:caps w:val="0"/>
                <w:color w:val="000000"/>
                <w:spacing w:val="0"/>
                <w:sz w:val="24"/>
                <w:szCs w:val="24"/>
                <w:u w:val="none"/>
                <w:bdr w:val="none" w:color="auto" w:sz="0" w:space="0"/>
              </w:rPr>
              <w:fldChar w:fldCharType="end"/>
            </w:r>
          </w:p>
        </w:tc>
        <w:tc>
          <w:tcPr>
            <w:tcW w:w="726" w:type="dxa"/>
            <w:tcBorders>
              <w:top w:val="nil"/>
              <w:left w:val="nil"/>
              <w:bottom w:val="single" w:color="000000" w:sz="6" w:space="0"/>
              <w:right w:val="single" w:color="000000" w:sz="6" w:space="0"/>
            </w:tcBorders>
            <w:shd w:val="clear"/>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pPr>
            <w:r>
              <w:rPr>
                <w:rFonts w:hint="default" w:ascii="仿宋_gb2312" w:hAnsi="仿宋_gb2312" w:eastAsia="仿宋_gb2312" w:cs="仿宋_gb2312"/>
                <w:b w:val="0"/>
                <w:i w:val="0"/>
                <w:caps w:val="0"/>
                <w:color w:val="000000"/>
                <w:spacing w:val="0"/>
                <w:sz w:val="24"/>
                <w:szCs w:val="24"/>
                <w:bdr w:val="none" w:color="auto" w:sz="0" w:space="0"/>
              </w:rPr>
              <w:t>研究生</w:t>
            </w:r>
          </w:p>
        </w:tc>
        <w:tc>
          <w:tcPr>
            <w:tcW w:w="1500" w:type="dxa"/>
            <w:tcBorders>
              <w:top w:val="nil"/>
              <w:left w:val="nil"/>
              <w:bottom w:val="single" w:color="000000" w:sz="6" w:space="0"/>
              <w:right w:val="single" w:color="000000" w:sz="6" w:space="0"/>
            </w:tcBorders>
            <w:shd w:val="clear"/>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pPr>
            <w:r>
              <w:rPr>
                <w:rFonts w:hint="default" w:ascii="仿宋_gb2312" w:hAnsi="仿宋_gb2312" w:eastAsia="仿宋_gb2312" w:cs="仿宋_gb2312"/>
                <w:b w:val="0"/>
                <w:i w:val="0"/>
                <w:caps w:val="0"/>
                <w:color w:val="000000"/>
                <w:spacing w:val="0"/>
                <w:sz w:val="24"/>
                <w:szCs w:val="24"/>
                <w:bdr w:val="none" w:color="auto" w:sz="0" w:space="0"/>
              </w:rPr>
              <w:t>硕士及以上</w:t>
            </w:r>
          </w:p>
        </w:tc>
        <w:tc>
          <w:tcPr>
            <w:tcW w:w="716" w:type="dxa"/>
            <w:tcBorders>
              <w:top w:val="nil"/>
              <w:left w:val="nil"/>
              <w:bottom w:val="single" w:color="000000" w:sz="6" w:space="0"/>
              <w:right w:val="single" w:color="000000" w:sz="6" w:space="0"/>
            </w:tcBorders>
            <w:shd w:val="clear"/>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pPr>
            <w:r>
              <w:rPr>
                <w:rFonts w:hint="default" w:ascii="仿宋_gb2312" w:hAnsi="仿宋_gb2312" w:eastAsia="仿宋_gb2312" w:cs="仿宋_gb2312"/>
                <w:b w:val="0"/>
                <w:i w:val="0"/>
                <w:caps w:val="0"/>
                <w:color w:val="000000"/>
                <w:spacing w:val="0"/>
                <w:sz w:val="24"/>
                <w:szCs w:val="24"/>
                <w:bdr w:val="none" w:color="auto" w:sz="0" w:space="0"/>
              </w:rPr>
              <w:t>1</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0" w:type="dxa"/>
            <w:left w:w="0" w:type="dxa"/>
            <w:bottom w:w="0" w:type="dxa"/>
            <w:right w:w="0" w:type="dxa"/>
          </w:tblCellMar>
        </w:tblPrEx>
        <w:trPr>
          <w:trHeight w:val="375" w:hRule="atLeast"/>
          <w:tblCellSpacing w:w="0" w:type="dxa"/>
        </w:trPr>
        <w:tc>
          <w:tcPr>
            <w:tcW w:w="600" w:type="dxa"/>
            <w:tcBorders>
              <w:top w:val="nil"/>
              <w:left w:val="single" w:color="000000" w:sz="6" w:space="0"/>
              <w:bottom w:val="single" w:color="000000" w:sz="6" w:space="0"/>
              <w:right w:val="single" w:color="000000" w:sz="6" w:space="0"/>
            </w:tcBorders>
            <w:shd w:val="clear"/>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pPr>
            <w:r>
              <w:rPr>
                <w:rFonts w:hint="default" w:ascii="仿宋_gb2312" w:hAnsi="仿宋_gb2312" w:eastAsia="仿宋_gb2312" w:cs="仿宋_gb2312"/>
                <w:b w:val="0"/>
                <w:i w:val="0"/>
                <w:caps w:val="0"/>
                <w:color w:val="000000"/>
                <w:spacing w:val="0"/>
                <w:sz w:val="24"/>
                <w:szCs w:val="24"/>
                <w:bdr w:val="none" w:color="auto" w:sz="0" w:space="0"/>
              </w:rPr>
              <w:t>08</w:t>
            </w:r>
          </w:p>
        </w:tc>
        <w:tc>
          <w:tcPr>
            <w:tcW w:w="1217" w:type="dxa"/>
            <w:tcBorders>
              <w:top w:val="nil"/>
              <w:left w:val="nil"/>
              <w:bottom w:val="single" w:color="000000" w:sz="6" w:space="0"/>
              <w:right w:val="single" w:color="000000" w:sz="6" w:space="0"/>
            </w:tcBorders>
            <w:shd w:val="clear"/>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pPr>
            <w:r>
              <w:rPr>
                <w:rFonts w:hint="default" w:ascii="仿宋_gb2312" w:hAnsi="仿宋_gb2312" w:eastAsia="仿宋_gb2312" w:cs="仿宋_gb2312"/>
                <w:b w:val="0"/>
                <w:i w:val="0"/>
                <w:caps w:val="0"/>
                <w:color w:val="000000"/>
                <w:spacing w:val="0"/>
                <w:sz w:val="24"/>
                <w:szCs w:val="24"/>
                <w:bdr w:val="none" w:color="auto" w:sz="0" w:space="0"/>
              </w:rPr>
              <w:t>急诊科医师</w:t>
            </w:r>
          </w:p>
        </w:tc>
        <w:tc>
          <w:tcPr>
            <w:tcW w:w="934" w:type="dxa"/>
            <w:tcBorders>
              <w:top w:val="nil"/>
              <w:left w:val="nil"/>
              <w:bottom w:val="single" w:color="000000" w:sz="6" w:space="0"/>
              <w:right w:val="single" w:color="000000" w:sz="6" w:space="0"/>
            </w:tcBorders>
            <w:shd w:val="clear"/>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pPr>
            <w:r>
              <w:rPr>
                <w:rFonts w:hint="default" w:ascii="仿宋_gb2312" w:hAnsi="仿宋_gb2312" w:eastAsia="仿宋_gb2312" w:cs="仿宋_gb2312"/>
                <w:b w:val="0"/>
                <w:i w:val="0"/>
                <w:caps w:val="0"/>
                <w:color w:val="000000"/>
                <w:spacing w:val="0"/>
                <w:sz w:val="24"/>
                <w:szCs w:val="24"/>
                <w:bdr w:val="none" w:color="auto" w:sz="0" w:space="0"/>
              </w:rPr>
              <w:t>专业技术岗</w:t>
            </w:r>
          </w:p>
        </w:tc>
        <w:tc>
          <w:tcPr>
            <w:tcW w:w="2819" w:type="dxa"/>
            <w:tcBorders>
              <w:top w:val="nil"/>
              <w:left w:val="nil"/>
              <w:bottom w:val="single" w:color="000000" w:sz="6" w:space="0"/>
              <w:right w:val="single" w:color="000000" w:sz="6" w:space="0"/>
            </w:tcBorders>
            <w:shd w:val="clear"/>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pPr>
            <w:r>
              <w:rPr>
                <w:rFonts w:hint="default" w:ascii="仿宋_gb2312" w:hAnsi="仿宋_gb2312" w:eastAsia="仿宋_gb2312" w:cs="仿宋_gb2312"/>
                <w:b w:val="0"/>
                <w:i w:val="0"/>
                <w:caps w:val="0"/>
                <w:color w:val="000000"/>
                <w:spacing w:val="0"/>
                <w:sz w:val="24"/>
                <w:szCs w:val="24"/>
                <w:bdr w:val="none" w:color="auto" w:sz="0" w:space="0"/>
              </w:rPr>
              <w:t>急诊医学、内科学、外科学</w:t>
            </w:r>
          </w:p>
        </w:tc>
        <w:tc>
          <w:tcPr>
            <w:tcW w:w="726" w:type="dxa"/>
            <w:tcBorders>
              <w:top w:val="nil"/>
              <w:left w:val="nil"/>
              <w:bottom w:val="single" w:color="000000" w:sz="6" w:space="0"/>
              <w:right w:val="single" w:color="000000" w:sz="6" w:space="0"/>
            </w:tcBorders>
            <w:shd w:val="clear"/>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pPr>
            <w:r>
              <w:rPr>
                <w:rFonts w:hint="default" w:ascii="仿宋_gb2312" w:hAnsi="仿宋_gb2312" w:eastAsia="仿宋_gb2312" w:cs="仿宋_gb2312"/>
                <w:b w:val="0"/>
                <w:i w:val="0"/>
                <w:caps w:val="0"/>
                <w:color w:val="000000"/>
                <w:spacing w:val="0"/>
                <w:sz w:val="24"/>
                <w:szCs w:val="24"/>
                <w:bdr w:val="none" w:color="auto" w:sz="0" w:space="0"/>
              </w:rPr>
              <w:t>研究生</w:t>
            </w:r>
          </w:p>
        </w:tc>
        <w:tc>
          <w:tcPr>
            <w:tcW w:w="1500" w:type="dxa"/>
            <w:tcBorders>
              <w:top w:val="nil"/>
              <w:left w:val="nil"/>
              <w:bottom w:val="single" w:color="000000" w:sz="6" w:space="0"/>
              <w:right w:val="single" w:color="000000" w:sz="6" w:space="0"/>
            </w:tcBorders>
            <w:shd w:val="clear"/>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pPr>
            <w:r>
              <w:rPr>
                <w:rFonts w:hint="default" w:ascii="仿宋_gb2312" w:hAnsi="仿宋_gb2312" w:eastAsia="仿宋_gb2312" w:cs="仿宋_gb2312"/>
                <w:b w:val="0"/>
                <w:i w:val="0"/>
                <w:caps w:val="0"/>
                <w:color w:val="000000"/>
                <w:spacing w:val="0"/>
                <w:sz w:val="24"/>
                <w:szCs w:val="24"/>
                <w:bdr w:val="none" w:color="auto" w:sz="0" w:space="0"/>
              </w:rPr>
              <w:t>硕士及以上</w:t>
            </w:r>
          </w:p>
        </w:tc>
        <w:tc>
          <w:tcPr>
            <w:tcW w:w="716" w:type="dxa"/>
            <w:tcBorders>
              <w:top w:val="nil"/>
              <w:left w:val="nil"/>
              <w:bottom w:val="single" w:color="000000" w:sz="6" w:space="0"/>
              <w:right w:val="single" w:color="000000" w:sz="6" w:space="0"/>
            </w:tcBorders>
            <w:shd w:val="clear"/>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pPr>
            <w:r>
              <w:rPr>
                <w:rFonts w:hint="default" w:ascii="仿宋_gb2312" w:hAnsi="仿宋_gb2312" w:eastAsia="仿宋_gb2312" w:cs="仿宋_gb2312"/>
                <w:b w:val="0"/>
                <w:i w:val="0"/>
                <w:caps w:val="0"/>
                <w:color w:val="000000"/>
                <w:spacing w:val="0"/>
                <w:sz w:val="24"/>
                <w:szCs w:val="24"/>
                <w:bdr w:val="none" w:color="auto" w:sz="0" w:space="0"/>
              </w:rPr>
              <w:t>1</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0" w:type="dxa"/>
            <w:left w:w="0" w:type="dxa"/>
            <w:bottom w:w="0" w:type="dxa"/>
            <w:right w:w="0" w:type="dxa"/>
          </w:tblCellMar>
        </w:tblPrEx>
        <w:trPr>
          <w:trHeight w:val="375" w:hRule="atLeast"/>
          <w:tblCellSpacing w:w="0" w:type="dxa"/>
        </w:trPr>
        <w:tc>
          <w:tcPr>
            <w:tcW w:w="600" w:type="dxa"/>
            <w:tcBorders>
              <w:top w:val="nil"/>
              <w:left w:val="single" w:color="000000" w:sz="6" w:space="0"/>
              <w:bottom w:val="single" w:color="000000" w:sz="6" w:space="0"/>
              <w:right w:val="single" w:color="000000" w:sz="6" w:space="0"/>
            </w:tcBorders>
            <w:shd w:val="clear"/>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pPr>
            <w:r>
              <w:rPr>
                <w:rFonts w:hint="default" w:ascii="仿宋_gb2312" w:hAnsi="仿宋_gb2312" w:eastAsia="仿宋_gb2312" w:cs="仿宋_gb2312"/>
                <w:b w:val="0"/>
                <w:i w:val="0"/>
                <w:caps w:val="0"/>
                <w:color w:val="000000"/>
                <w:spacing w:val="0"/>
                <w:sz w:val="24"/>
                <w:szCs w:val="24"/>
                <w:bdr w:val="none" w:color="auto" w:sz="0" w:space="0"/>
              </w:rPr>
              <w:t>09</w:t>
            </w:r>
          </w:p>
        </w:tc>
        <w:tc>
          <w:tcPr>
            <w:tcW w:w="1217" w:type="dxa"/>
            <w:tcBorders>
              <w:top w:val="nil"/>
              <w:left w:val="nil"/>
              <w:bottom w:val="single" w:color="000000" w:sz="6" w:space="0"/>
              <w:right w:val="single" w:color="000000" w:sz="6" w:space="0"/>
            </w:tcBorders>
            <w:shd w:val="clear"/>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pPr>
            <w:r>
              <w:rPr>
                <w:rFonts w:hint="default" w:ascii="仿宋_gb2312" w:hAnsi="仿宋_gb2312" w:eastAsia="仿宋_gb2312" w:cs="仿宋_gb2312"/>
                <w:b w:val="0"/>
                <w:i w:val="0"/>
                <w:caps w:val="0"/>
                <w:color w:val="000000"/>
                <w:spacing w:val="0"/>
                <w:sz w:val="24"/>
                <w:szCs w:val="24"/>
                <w:bdr w:val="none" w:color="auto" w:sz="0" w:space="0"/>
              </w:rPr>
              <w:t>超声科医师</w:t>
            </w:r>
          </w:p>
        </w:tc>
        <w:tc>
          <w:tcPr>
            <w:tcW w:w="934" w:type="dxa"/>
            <w:tcBorders>
              <w:top w:val="nil"/>
              <w:left w:val="nil"/>
              <w:bottom w:val="single" w:color="000000" w:sz="6" w:space="0"/>
              <w:right w:val="single" w:color="000000" w:sz="6" w:space="0"/>
            </w:tcBorders>
            <w:shd w:val="clear"/>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pPr>
            <w:r>
              <w:rPr>
                <w:rFonts w:hint="default" w:ascii="仿宋_gb2312" w:hAnsi="仿宋_gb2312" w:eastAsia="仿宋_gb2312" w:cs="仿宋_gb2312"/>
                <w:b w:val="0"/>
                <w:i w:val="0"/>
                <w:caps w:val="0"/>
                <w:color w:val="000000"/>
                <w:spacing w:val="0"/>
                <w:sz w:val="24"/>
                <w:szCs w:val="24"/>
                <w:bdr w:val="none" w:color="auto" w:sz="0" w:space="0"/>
              </w:rPr>
              <w:t>专业技术岗</w:t>
            </w:r>
          </w:p>
        </w:tc>
        <w:tc>
          <w:tcPr>
            <w:tcW w:w="2819" w:type="dxa"/>
            <w:tcBorders>
              <w:top w:val="nil"/>
              <w:left w:val="nil"/>
              <w:bottom w:val="single" w:color="000000" w:sz="6" w:space="0"/>
              <w:right w:val="single" w:color="000000" w:sz="6" w:space="0"/>
            </w:tcBorders>
            <w:shd w:val="clear"/>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pPr>
            <w:r>
              <w:rPr>
                <w:rFonts w:hint="default" w:ascii="仿宋_gb2312" w:hAnsi="仿宋_gb2312" w:eastAsia="仿宋_gb2312" w:cs="仿宋_gb2312"/>
                <w:b w:val="0"/>
                <w:i w:val="0"/>
                <w:caps w:val="0"/>
                <w:color w:val="000000"/>
                <w:spacing w:val="0"/>
                <w:sz w:val="24"/>
                <w:szCs w:val="24"/>
                <w:bdr w:val="none" w:color="auto" w:sz="0" w:space="0"/>
              </w:rPr>
              <w:t>影像医学与核医学</w:t>
            </w:r>
          </w:p>
        </w:tc>
        <w:tc>
          <w:tcPr>
            <w:tcW w:w="726" w:type="dxa"/>
            <w:tcBorders>
              <w:top w:val="nil"/>
              <w:left w:val="nil"/>
              <w:bottom w:val="single" w:color="000000" w:sz="6" w:space="0"/>
              <w:right w:val="single" w:color="000000" w:sz="6" w:space="0"/>
            </w:tcBorders>
            <w:shd w:val="clear"/>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pPr>
            <w:r>
              <w:rPr>
                <w:rFonts w:hint="default" w:ascii="仿宋_gb2312" w:hAnsi="仿宋_gb2312" w:eastAsia="仿宋_gb2312" w:cs="仿宋_gb2312"/>
                <w:b w:val="0"/>
                <w:i w:val="0"/>
                <w:caps w:val="0"/>
                <w:color w:val="000000"/>
                <w:spacing w:val="0"/>
                <w:sz w:val="24"/>
                <w:szCs w:val="24"/>
                <w:bdr w:val="none" w:color="auto" w:sz="0" w:space="0"/>
              </w:rPr>
              <w:t>研究生</w:t>
            </w:r>
          </w:p>
        </w:tc>
        <w:tc>
          <w:tcPr>
            <w:tcW w:w="1500" w:type="dxa"/>
            <w:tcBorders>
              <w:top w:val="nil"/>
              <w:left w:val="nil"/>
              <w:bottom w:val="single" w:color="000000" w:sz="6" w:space="0"/>
              <w:right w:val="single" w:color="000000" w:sz="6" w:space="0"/>
            </w:tcBorders>
            <w:shd w:val="clear"/>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pPr>
            <w:r>
              <w:rPr>
                <w:rFonts w:hint="default" w:ascii="仿宋_gb2312" w:hAnsi="仿宋_gb2312" w:eastAsia="仿宋_gb2312" w:cs="仿宋_gb2312"/>
                <w:b w:val="0"/>
                <w:i w:val="0"/>
                <w:caps w:val="0"/>
                <w:color w:val="000000"/>
                <w:spacing w:val="0"/>
                <w:sz w:val="24"/>
                <w:szCs w:val="24"/>
                <w:bdr w:val="none" w:color="auto" w:sz="0" w:space="0"/>
              </w:rPr>
              <w:t>硕士及以上</w:t>
            </w:r>
          </w:p>
        </w:tc>
        <w:tc>
          <w:tcPr>
            <w:tcW w:w="716" w:type="dxa"/>
            <w:tcBorders>
              <w:top w:val="nil"/>
              <w:left w:val="nil"/>
              <w:bottom w:val="single" w:color="000000" w:sz="6" w:space="0"/>
              <w:right w:val="single" w:color="000000" w:sz="6" w:space="0"/>
            </w:tcBorders>
            <w:shd w:val="clear"/>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pPr>
            <w:r>
              <w:rPr>
                <w:rFonts w:hint="default" w:ascii="仿宋_gb2312" w:hAnsi="仿宋_gb2312" w:eastAsia="仿宋_gb2312" w:cs="仿宋_gb2312"/>
                <w:b w:val="0"/>
                <w:i w:val="0"/>
                <w:caps w:val="0"/>
                <w:color w:val="000000"/>
                <w:spacing w:val="0"/>
                <w:sz w:val="24"/>
                <w:szCs w:val="24"/>
                <w:bdr w:val="none" w:color="auto" w:sz="0" w:space="0"/>
              </w:rPr>
              <w:t>1</w:t>
            </w:r>
          </w:p>
        </w:tc>
      </w:tr>
    </w:tbl>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95" w:lineRule="atLeast"/>
        <w:ind w:left="0" w:right="0" w:firstLine="480"/>
        <w:rPr>
          <w:rFonts w:hint="eastAsia" w:ascii="宋体" w:hAnsi="宋体" w:eastAsia="宋体" w:cs="宋体"/>
          <w:b w:val="0"/>
          <w:i w:val="0"/>
          <w:caps w:val="0"/>
          <w:color w:val="000000"/>
          <w:spacing w:val="0"/>
          <w:sz w:val="21"/>
          <w:szCs w:val="21"/>
        </w:rPr>
      </w:pPr>
      <w:r>
        <w:rPr>
          <w:rStyle w:val="5"/>
          <w:rFonts w:ascii="楷体_gb2312" w:hAnsi="楷体_gb2312" w:eastAsia="楷体_gb2312" w:cs="楷体_gb2312"/>
          <w:i w:val="0"/>
          <w:caps w:val="0"/>
          <w:color w:val="000000"/>
          <w:spacing w:val="0"/>
          <w:sz w:val="24"/>
          <w:szCs w:val="24"/>
          <w:bdr w:val="none" w:color="auto" w:sz="0" w:space="0"/>
        </w:rPr>
        <w:t>备注：</w:t>
      </w:r>
      <w:r>
        <w:rPr>
          <w:rFonts w:hint="default" w:ascii="楷体_gb2312" w:hAnsi="楷体_gb2312" w:eastAsia="楷体_gb2312" w:cs="楷体_gb2312"/>
          <w:b w:val="0"/>
          <w:i w:val="0"/>
          <w:caps w:val="0"/>
          <w:color w:val="000000"/>
          <w:spacing w:val="0"/>
          <w:sz w:val="24"/>
          <w:szCs w:val="24"/>
          <w:bdr w:val="none" w:color="auto" w:sz="0" w:space="0"/>
        </w:rPr>
        <w:t>本次招聘学科专业名称参照《授予博士、硕士学位和培养研究生的学科、专业目录（1997年颁布）》及《学位授予和人才培养学科目录（2011年）》执行。</w:t>
      </w:r>
    </w:p>
    <w:p>
      <w:pPr>
        <w:rPr>
          <w:rFonts w:hint="eastAsia" w:eastAsiaTheme="minorEastAsia"/>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10002FF" w:usb1="4000ACFF" w:usb2="00000009" w:usb3="00000000" w:csb0="2000019F" w:csb1="00000000"/>
  </w:font>
  <w:font w:name="方正仿宋_gbk">
    <w:altName w:val="仿宋"/>
    <w:panose1 w:val="00000000000000000000"/>
    <w:charset w:val="00"/>
    <w:family w:val="auto"/>
    <w:pitch w:val="default"/>
    <w:sig w:usb0="00000000" w:usb1="00000000" w:usb2="00000000" w:usb3="00000000" w:csb0="00000000" w:csb1="00000000"/>
  </w:font>
  <w:font w:name="方正黑体_gbk">
    <w:altName w:val="黑体"/>
    <w:panose1 w:val="00000000000000000000"/>
    <w:charset w:val="00"/>
    <w:family w:val="auto"/>
    <w:pitch w:val="default"/>
    <w:sig w:usb0="00000000" w:usb1="00000000" w:usb2="00000000" w:usb3="00000000" w:csb0="00000000" w:csb1="00000000"/>
  </w:font>
  <w:font w:name="仿宋">
    <w:panose1 w:val="02010609060101010101"/>
    <w:charset w:val="86"/>
    <w:family w:val="auto"/>
    <w:pitch w:val="default"/>
    <w:sig w:usb0="800002BF" w:usb1="38CF7CFA" w:usb2="00000016" w:usb3="00000000" w:csb0="00040001" w:csb1="00000000"/>
  </w:font>
  <w:font w:name="方正楷体_gbk">
    <w:altName w:val="宋体"/>
    <w:panose1 w:val="00000000000000000000"/>
    <w:charset w:val="00"/>
    <w:family w:val="auto"/>
    <w:pitch w:val="default"/>
    <w:sig w:usb0="00000000" w:usb1="00000000" w:usb2="00000000" w:usb3="00000000" w:csb0="00000000" w:csb1="00000000"/>
  </w:font>
  <w:font w:name="方正小标宋_gbk">
    <w:altName w:val="宋体"/>
    <w:panose1 w:val="00000000000000000000"/>
    <w:charset w:val="00"/>
    <w:family w:val="auto"/>
    <w:pitch w:val="default"/>
    <w:sig w:usb0="00000000" w:usb1="00000000" w:usb2="00000000" w:usb3="00000000" w:csb0="00000000" w:csb1="00000000"/>
  </w:font>
  <w:font w:name="仿宋_gb2312">
    <w:altName w:val="仿宋"/>
    <w:panose1 w:val="00000000000000000000"/>
    <w:charset w:val="00"/>
    <w:family w:val="auto"/>
    <w:pitch w:val="default"/>
    <w:sig w:usb0="00000000" w:usb1="00000000" w:usb2="00000000" w:usb3="00000000" w:csb0="00000000" w:csb1="00000000"/>
  </w:font>
  <w:font w:name="楷体_gb2312">
    <w:altName w:val="宋体"/>
    <w:panose1 w:val="00000000000000000000"/>
    <w:charset w:val="00"/>
    <w:family w:val="auto"/>
    <w:pitch w:val="default"/>
    <w:sig w:usb0="00000000" w:usb1="00000000" w:usb2="00000000" w:usb3="00000000" w:csb0="00000000" w:csb1="00000000"/>
  </w:font>
  <w:font w:name="Arial">
    <w:panose1 w:val="020B0604020202020204"/>
    <w:charset w:val="00"/>
    <w:family w:val="auto"/>
    <w:pitch w:val="default"/>
    <w:sig w:usb0="E0002AFF" w:usb1="C0007843" w:usb2="00000009" w:usb3="00000000" w:csb0="400001FF" w:csb1="F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A1A5F"/>
    <w:rsid w:val="00BA1A5F"/>
  </w:rsid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2"/>
    <w:basedOn w:val="1"/>
    <w:next w:val="1"/>
    <w:unhideWhenUsed/>
    <w:qFormat/>
    <w:uiPriority w:val="0"/>
    <w:pPr>
      <w:spacing w:before="0" w:beforeAutospacing="1" w:after="0" w:afterAutospacing="1"/>
      <w:jc w:val="left"/>
    </w:pPr>
    <w:rPr>
      <w:rFonts w:hint="eastAsia" w:ascii="宋体" w:hAnsi="宋体" w:eastAsia="宋体" w:cs="宋体"/>
      <w:b/>
      <w:kern w:val="0"/>
      <w:sz w:val="36"/>
      <w:szCs w:val="36"/>
      <w:lang w:val="en-US" w:eastAsia="zh-CN" w:bidi="ar"/>
    </w:rPr>
  </w:style>
  <w:style w:type="character" w:default="1" w:styleId="4">
    <w:name w:val="Default Paragraph Font"/>
    <w:semiHidden/>
    <w:uiPriority w:val="0"/>
  </w:style>
  <w:style w:type="table" w:default="1" w:styleId="7">
    <w:name w:val="Normal Table"/>
    <w:semiHidden/>
    <w:uiPriority w:val="0"/>
    <w:tblPr>
      <w:tblLayout w:type="fixed"/>
      <w:tblCellMar>
        <w:top w:w="0" w:type="dxa"/>
        <w:left w:w="108" w:type="dxa"/>
        <w:bottom w:w="0" w:type="dxa"/>
        <w:right w:w="108" w:type="dxa"/>
      </w:tblCellMar>
    </w:tblPr>
  </w:style>
  <w:style w:type="paragraph" w:styleId="3">
    <w:name w:val="Normal (Web)"/>
    <w:basedOn w:val="1"/>
    <w:uiPriority w:val="0"/>
    <w:pPr>
      <w:spacing w:before="0" w:beforeAutospacing="1" w:after="0" w:afterAutospacing="1"/>
      <w:ind w:left="0" w:right="0"/>
      <w:jc w:val="left"/>
    </w:pPr>
    <w:rPr>
      <w:kern w:val="0"/>
      <w:sz w:val="24"/>
      <w:lang w:val="en-US" w:eastAsia="zh-CN" w:bidi="ar"/>
    </w:rPr>
  </w:style>
  <w:style w:type="character" w:styleId="5">
    <w:name w:val="Strong"/>
    <w:basedOn w:val="4"/>
    <w:qFormat/>
    <w:uiPriority w:val="0"/>
    <w:rPr>
      <w:b/>
    </w:rPr>
  </w:style>
  <w:style w:type="character" w:styleId="6">
    <w:name w:val="Hyperlink"/>
    <w:basedOn w:val="4"/>
    <w:uiPriority w:val="0"/>
    <w:rPr>
      <w:color w:val="0000FF"/>
      <w:u w:val="singl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Office_10.1.0.6028_F1E327BC-269C-435d-A152-05C5408002CA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2016-11-11T06:30:00Z</dcterms:created>
  <dc:creator>Administrator</dc:creator>
  <cp:lastModifiedBy>Administrator</cp:lastModifiedBy>
  <dcterms:modified xsi:type="dcterms:W3CDTF">2016-11-11T06:31:12Z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2052-10.1.0.6028</vt:lpwstr>
  </property>
</Properties>
</file>