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应聘登记表</w:t>
      </w:r>
    </w:p>
    <w:tbl>
      <w:tblPr>
        <w:tblStyle w:val="2"/>
        <w:tblpPr w:leftFromText="180" w:rightFromText="180" w:vertAnchor="text" w:horzAnchor="page" w:tblpX="765" w:tblpY="357"/>
        <w:tblOverlap w:val="never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85"/>
        <w:gridCol w:w="2121"/>
        <w:gridCol w:w="1299"/>
        <w:gridCol w:w="1230"/>
        <w:gridCol w:w="1050"/>
        <w:gridCol w:w="895"/>
        <w:gridCol w:w="70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出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生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月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号  码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貌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  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  况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高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及所学专业</w:t>
            </w:r>
          </w:p>
        </w:tc>
        <w:tc>
          <w:tcPr>
            <w:tcW w:w="570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在何单位（学校）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  <w:t>（从高中填写）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专长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141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2CCB"/>
    <w:rsid w:val="51F62CCB"/>
    <w:rsid w:val="74A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2020-04-08T10:14:00Z</dcterms:created>
  <dc:creator>回忆似糖甜到忧伤1413360305</dc:creator>
  <cp:lastModifiedBy>ぺ灬cc果冻ル</cp:lastModifiedBy>
  <dcterms:modified xsi:type="dcterms:W3CDTF">2020-04-14T07:13:25Z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