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70" w:type="dxa"/>
        <w:tblInd w:w="0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794"/>
        <w:gridCol w:w="907"/>
        <w:gridCol w:w="1270"/>
        <w:gridCol w:w="2949"/>
        <w:gridCol w:w="566"/>
        <w:gridCol w:w="614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岗位序号</w:t>
            </w: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处</w:t>
            </w: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室</w:t>
            </w:r>
          </w:p>
        </w:tc>
        <w:tc>
          <w:tcPr>
            <w:tcW w:w="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</w:t>
            </w: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位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职</w:t>
            </w: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责</w:t>
            </w:r>
          </w:p>
        </w:tc>
        <w:tc>
          <w:tcPr>
            <w:tcW w:w="2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任职条件</w:t>
            </w:r>
          </w:p>
        </w:tc>
        <w:tc>
          <w:tcPr>
            <w:tcW w:w="5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岗位数量</w:t>
            </w:r>
          </w:p>
        </w:tc>
        <w:tc>
          <w:tcPr>
            <w:tcW w:w="6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油气能源地球化学研究室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科研岗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负责油气地球化学科研与测试工作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油气地球化学、石油地质、石油工程或其他地质学专业，研究生学历，英语六级以上水平，具有电镜操作经验者优先。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成果转化中心（筹）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仪器研发岗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负责仪器研发与国产化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机械设计专业，研究生学历，英语六级以上水平。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标准化研究室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标准研究与实验测试岗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负责标准物质研制及标准方法修订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分析化学专业，研究生学历，英语六级以上水平。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数据中心（筹）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应用开发及运维岗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负责数据管理与程序开发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计算机应用专业，研究生学历，英语六级以上水平，熟练应用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Java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语言、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SQLServer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、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mySQL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、了解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PG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，有应用开发或实习经验者优先。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党办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党务管理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负责党务工作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文史类专业，研究生学历，英语六级以上水平，中共党员。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京内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B9"/>
    <w:rsid w:val="00117AB9"/>
    <w:rsid w:val="00223CFA"/>
    <w:rsid w:val="0E500ECF"/>
    <w:rsid w:val="194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  <w:style w:type="character" w:customStyle="1" w:styleId="6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不明显强调1"/>
    <w:basedOn w:val="3"/>
    <w:qFormat/>
    <w:uiPriority w:val="99"/>
    <w:rPr>
      <w:rFonts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2018-03-08T04:57:00Z</dcterms:created>
  <dc:creator>于洪奇(于洪奇:)</dc:creator>
  <cp:lastModifiedBy>可爱的小仙女</cp:lastModifiedBy>
  <dcterms:modified xsi:type="dcterms:W3CDTF">2018-03-08T14:10:30Z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