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56" w:type="dxa"/>
        <w:tblInd w:w="0" w:type="dxa"/>
        <w:tblBorders>
          <w:top w:val="none" w:color="000000" w:sz="3" w:space="0"/>
          <w:left w:val="none" w:color="000000" w:sz="3" w:space="0"/>
          <w:bottom w:val="none" w:color="000000" w:sz="3" w:space="0"/>
          <w:right w:val="none" w:color="000000" w:sz="3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109"/>
        <w:gridCol w:w="981"/>
        <w:gridCol w:w="629"/>
        <w:gridCol w:w="1014"/>
        <w:gridCol w:w="1161"/>
        <w:gridCol w:w="2498"/>
      </w:tblGrid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ascii="&amp;quot" w:hAnsi="&amp;quot" w:eastAsia="&amp;quot" w:cs="&amp;quot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序号</w:t>
            </w:r>
          </w:p>
        </w:tc>
        <w:tc>
          <w:tcPr>
            <w:tcW w:w="11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工作部门</w:t>
            </w:r>
          </w:p>
        </w:tc>
        <w:tc>
          <w:tcPr>
            <w:tcW w:w="9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岗位名称</w:t>
            </w:r>
          </w:p>
        </w:tc>
        <w:tc>
          <w:tcPr>
            <w:tcW w:w="6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招聘人数</w:t>
            </w:r>
          </w:p>
        </w:tc>
        <w:tc>
          <w:tcPr>
            <w:tcW w:w="1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学历要求</w:t>
            </w:r>
          </w:p>
        </w:tc>
        <w:tc>
          <w:tcPr>
            <w:tcW w:w="1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专业要求</w:t>
            </w:r>
          </w:p>
        </w:tc>
        <w:tc>
          <w:tcPr>
            <w:tcW w:w="24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备注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4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党群办公室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群工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研究生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人文社科类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京内生源。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具有较强的写作能力和表达能力。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科技外事处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科技外事管理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研究生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信息与计算机科学类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京外生源。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具有良好英语口语表达能力和读写能力，通过英语六级考试。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地质矿产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研究所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综合研究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研究生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地球科学与资源类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京外生源。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7"/>
                <w:szCs w:val="17"/>
                <w:u w:val="none"/>
                <w:bdr w:val="none" w:color="000000" w:sz="0" w:space="0"/>
              </w:rPr>
              <w:t>熟悉矿产资源管理相关业务，有较强的调查分析和研究能力，文字功底较强。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2018-03-08T13:54:29Z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