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s="Times New Roman"/>
          <w:spacing w:val="-20"/>
          <w:kern w:val="0"/>
          <w:sz w:val="32"/>
          <w:szCs w:val="32"/>
          <w:lang w:eastAsia="zh-CN"/>
        </w:rPr>
      </w:pPr>
      <w:r>
        <w:rPr>
          <w:rFonts w:hint="eastAsia" w:ascii="黑体" w:hAnsi="黑体" w:eastAsia="黑体" w:cs="Times New Roman"/>
          <w:spacing w:val="-20"/>
          <w:kern w:val="0"/>
          <w:sz w:val="32"/>
          <w:szCs w:val="32"/>
        </w:rPr>
        <w:t>附件</w:t>
      </w:r>
      <w:r>
        <w:rPr>
          <w:rFonts w:hint="eastAsia" w:ascii="黑体" w:hAnsi="黑体" w:eastAsia="黑体" w:cs="Times New Roman"/>
          <w:spacing w:val="-20"/>
          <w:kern w:val="0"/>
          <w:sz w:val="32"/>
          <w:szCs w:val="32"/>
          <w:lang w:val="en-US" w:eastAsia="zh-CN"/>
        </w:rPr>
        <w:t>4</w:t>
      </w:r>
      <w:bookmarkStart w:id="0" w:name="_GoBack"/>
      <w:bookmarkEnd w:id="0"/>
    </w:p>
    <w:p>
      <w:pPr>
        <w:spacing w:line="66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吴江区基本情况简介</w:t>
      </w:r>
    </w:p>
    <w:p>
      <w:pPr>
        <w:spacing w:line="520" w:lineRule="exact"/>
        <w:ind w:firstLine="640" w:firstLineChars="200"/>
        <w:rPr>
          <w:rFonts w:ascii="仿宋_GB2312" w:hAnsi="宋体" w:eastAsia="仿宋_GB2312"/>
          <w:sz w:val="32"/>
          <w:szCs w:val="32"/>
        </w:rPr>
      </w:pPr>
    </w:p>
    <w:p>
      <w:pPr>
        <w:spacing w:line="520" w:lineRule="exact"/>
        <w:ind w:firstLine="600" w:firstLineChars="200"/>
        <w:rPr>
          <w:rFonts w:ascii="仿宋_GB2312" w:hAnsi="方正仿宋_GBK" w:eastAsia="仿宋_GB2312" w:cs="方正仿宋_GBK"/>
          <w:sz w:val="30"/>
          <w:szCs w:val="30"/>
        </w:rPr>
      </w:pPr>
      <w:r>
        <w:rPr>
          <w:rFonts w:hint="eastAsia" w:ascii="仿宋_GB2312" w:hAnsi="方正仿宋_GBK" w:eastAsia="仿宋_GB2312" w:cs="方正仿宋_GBK"/>
          <w:sz w:val="30"/>
          <w:szCs w:val="30"/>
        </w:rPr>
        <w:t>吴江是江苏省的“南大门”，东邻上海，西濒太湖，南连浙江，北依苏州主城区，地处江浙沪两省一市交汇的长江三角洲中心腹地。全区总面积1176平方公里，常住人口130.98万，户籍人口84万，包括1个国家级开发区、2个省级高新区、1个省级旅游度假区，是苏州城区最大的板块和城市发展的重要纵深所在。</w:t>
      </w:r>
    </w:p>
    <w:p>
      <w:pPr>
        <w:spacing w:line="520" w:lineRule="exact"/>
        <w:ind w:firstLine="602" w:firstLineChars="200"/>
        <w:rPr>
          <w:rFonts w:ascii="仿宋_GB2312" w:hAnsi="方正仿宋_GBK" w:eastAsia="仿宋_GB2312" w:cs="方正仿宋_GBK"/>
          <w:sz w:val="30"/>
          <w:szCs w:val="30"/>
        </w:rPr>
      </w:pPr>
      <w:r>
        <w:rPr>
          <w:rFonts w:hint="eastAsia" w:ascii="楷体_GB2312" w:hAnsi="宋体" w:eastAsia="楷体_GB2312"/>
          <w:b/>
          <w:bCs/>
          <w:sz w:val="30"/>
          <w:szCs w:val="30"/>
        </w:rPr>
        <w:t>吴江是人文之区</w:t>
      </w:r>
      <w:r>
        <w:rPr>
          <w:rFonts w:hint="eastAsia" w:ascii="仿宋_GB2312" w:hAnsi="宋体" w:eastAsia="仿宋_GB2312"/>
          <w:b/>
          <w:bCs/>
          <w:sz w:val="30"/>
          <w:szCs w:val="30"/>
        </w:rPr>
        <w:t>。</w:t>
      </w:r>
      <w:r>
        <w:rPr>
          <w:rFonts w:hint="eastAsia" w:ascii="仿宋_GB2312" w:hAnsi="方正仿宋_GBK" w:eastAsia="仿宋_GB2312" w:cs="方正仿宋_GBK"/>
          <w:sz w:val="30"/>
          <w:szCs w:val="30"/>
        </w:rPr>
        <w:t>公元909年建县，1992年撤县设市，2012年撤市设区，是享誉全国的“鱼米之乡”“丝绸之府”。悠长久远的历史和勤勉诚信的民风，孕育了包括爱国诗人柳亚子、社会学家费孝通、“两弹一星”功勋科学家程开甲等一大批社会英才。江南民居风貌独特，造就了同里、黎里、震泽三个中国历史文化名镇。继同里退思园之后，大运河吴江段和吴江运河古纤道分别作为河道遗产和重要遗产点也列入《世界文化遗产名录》。</w:t>
      </w:r>
    </w:p>
    <w:p>
      <w:pPr>
        <w:spacing w:line="520" w:lineRule="exact"/>
        <w:ind w:firstLine="602" w:firstLineChars="200"/>
        <w:rPr>
          <w:rFonts w:ascii="仿宋_GB2312" w:hAnsi="方正仿宋_GBK" w:eastAsia="仿宋_GB2312" w:cs="方正仿宋_GBK"/>
          <w:sz w:val="30"/>
          <w:szCs w:val="30"/>
        </w:rPr>
      </w:pPr>
      <w:r>
        <w:rPr>
          <w:rFonts w:hint="eastAsia" w:ascii="楷体_GB2312" w:hAnsi="宋体" w:eastAsia="楷体_GB2312"/>
          <w:b/>
          <w:bCs/>
          <w:sz w:val="30"/>
          <w:szCs w:val="30"/>
        </w:rPr>
        <w:t>吴江是实力之区</w:t>
      </w:r>
      <w:r>
        <w:rPr>
          <w:rFonts w:hint="eastAsia" w:ascii="仿宋_GB2312" w:hAnsi="宋体" w:eastAsia="仿宋_GB2312"/>
          <w:b/>
          <w:bCs/>
          <w:sz w:val="30"/>
          <w:szCs w:val="30"/>
        </w:rPr>
        <w:t>。</w:t>
      </w:r>
      <w:r>
        <w:rPr>
          <w:rFonts w:hint="eastAsia" w:ascii="仿宋_GB2312" w:hAnsi="方正仿宋_GBK" w:eastAsia="仿宋_GB2312" w:cs="方正仿宋_GBK"/>
          <w:sz w:val="30"/>
          <w:szCs w:val="30"/>
        </w:rPr>
        <w:t>上半年，完成地区生产总值987.1亿元,同比增长6.8%；一般公共预算收入118.2亿元，同比增长9.3%；完成工业总产值2265亿元，同比增长0.8%；完成全社会固定资产投资319.6亿元，同比增长10.2%。丝绸纺织、电子信息、光电通信、装备制造四大主导产业稳步发展，新一代信息技术、新型半导体、生物医药等新兴产业和现代服务业发展迅速。民营经济发达， 4家企业入围中国企业500强， 5家企业入围中国民企500强，恒力跻身世界500强企业，位列181位。工业企业资源集约利用信息系统全省首创，智能工业领跑全省县市区。</w:t>
      </w:r>
    </w:p>
    <w:p>
      <w:pPr>
        <w:spacing w:line="520" w:lineRule="exact"/>
        <w:ind w:firstLine="602" w:firstLineChars="200"/>
        <w:rPr>
          <w:rFonts w:ascii="仿宋_GB2312" w:hAnsi="方正仿宋_GBK" w:eastAsia="仿宋_GB2312" w:cs="方正仿宋_GBK"/>
          <w:sz w:val="30"/>
          <w:szCs w:val="30"/>
        </w:rPr>
      </w:pPr>
      <w:r>
        <w:rPr>
          <w:rFonts w:hint="eastAsia" w:ascii="楷体_GB2312" w:hAnsi="宋体" w:eastAsia="楷体_GB2312"/>
          <w:b/>
          <w:bCs/>
          <w:sz w:val="30"/>
          <w:szCs w:val="30"/>
        </w:rPr>
        <w:t>吴江是活力之区</w:t>
      </w:r>
      <w:r>
        <w:rPr>
          <w:rFonts w:hint="eastAsia" w:ascii="仿宋_GB2312" w:hAnsi="宋体" w:eastAsia="仿宋_GB2312"/>
          <w:b/>
          <w:bCs/>
          <w:sz w:val="30"/>
          <w:szCs w:val="30"/>
        </w:rPr>
        <w:t>。</w:t>
      </w:r>
      <w:r>
        <w:rPr>
          <w:rFonts w:hint="eastAsia" w:ascii="仿宋_GB2312" w:hAnsi="方正仿宋_GBK" w:eastAsia="仿宋_GB2312" w:cs="方正仿宋_GBK"/>
          <w:sz w:val="30"/>
          <w:szCs w:val="30"/>
        </w:rPr>
        <w:t>既有中心城区的功能优势，又有县域经济的活力优势。拥有国家级科创园4家，国家级众创空间4家，国家级企业技术中心10家；拥有国家千人计划55人，国家级企业博士后科研工作站46家。累计上市企业16家，“新三板”挂牌企业54家。2019年5月30日，中共中央、国务院印发《长江三角洲区域一体化发展规划纲要》，提出以上海青浦、江苏吴江、浙江嘉善为“长三角生态绿色一体化发展示范区”，示范引领长三角地区更高质量一体化发展，吴江迎来重大历史发展机遇。</w:t>
      </w:r>
    </w:p>
    <w:p>
      <w:pPr>
        <w:spacing w:line="520" w:lineRule="exact"/>
        <w:ind w:firstLine="602" w:firstLineChars="200"/>
        <w:rPr>
          <w:rFonts w:ascii="仿宋_GB2312" w:hAnsi="方正仿宋_GBK" w:eastAsia="仿宋_GB2312" w:cs="方正仿宋_GBK"/>
          <w:sz w:val="30"/>
          <w:szCs w:val="30"/>
        </w:rPr>
      </w:pPr>
      <w:r>
        <w:rPr>
          <w:rFonts w:hint="eastAsia" w:ascii="楷体_GB2312" w:hAnsi="宋体" w:eastAsia="楷体_GB2312"/>
          <w:b/>
          <w:bCs/>
          <w:sz w:val="30"/>
          <w:szCs w:val="30"/>
        </w:rPr>
        <w:t>吴江是绿色之区</w:t>
      </w:r>
      <w:r>
        <w:rPr>
          <w:rFonts w:hint="eastAsia" w:ascii="仿宋_GB2312" w:hAnsi="宋体" w:eastAsia="仿宋_GB2312"/>
          <w:b/>
          <w:bCs/>
          <w:sz w:val="30"/>
          <w:szCs w:val="30"/>
        </w:rPr>
        <w:t>。</w:t>
      </w:r>
      <w:r>
        <w:rPr>
          <w:rFonts w:hint="eastAsia" w:ascii="仿宋_GB2312" w:hAnsi="方正仿宋_GBK" w:eastAsia="仿宋_GB2312" w:cs="方正仿宋_GBK"/>
          <w:sz w:val="30"/>
          <w:szCs w:val="30"/>
        </w:rPr>
        <w:t>水域面积占全区面积23%，列入省保护湖泊名录达56个（含太湖），占全省的40%。自然湿地保护率达72.6%，林木覆盖率达19.8%。太湖岸线47公里，是整个太湖水质最好、空气最好的区域之一。拥有国家湿地公园建设试点单位同里湿地公园、省级森林公园桃源森林公园。水环境、大气环境质量在“三治”、“263”专项行动等综合工程实施下明显改善。</w:t>
      </w:r>
    </w:p>
    <w:p>
      <w:pPr>
        <w:spacing w:line="520" w:lineRule="exact"/>
        <w:ind w:firstLine="602" w:firstLineChars="200"/>
        <w:rPr>
          <w:rFonts w:ascii="仿宋_GB2312" w:hAnsi="方正仿宋_GBK" w:eastAsia="仿宋_GB2312" w:cs="方正仿宋_GBK"/>
          <w:sz w:val="30"/>
          <w:szCs w:val="30"/>
        </w:rPr>
      </w:pPr>
      <w:r>
        <w:rPr>
          <w:rFonts w:hint="eastAsia" w:ascii="楷体_GB2312" w:hAnsi="宋体" w:eastAsia="楷体_GB2312"/>
          <w:b/>
          <w:bCs/>
          <w:sz w:val="30"/>
          <w:szCs w:val="30"/>
        </w:rPr>
        <w:t>吴江是乐居之区</w:t>
      </w:r>
      <w:r>
        <w:rPr>
          <w:rFonts w:hint="eastAsia" w:ascii="仿宋_GB2312" w:hAnsi="宋体" w:eastAsia="仿宋_GB2312"/>
          <w:b/>
          <w:bCs/>
          <w:sz w:val="30"/>
          <w:szCs w:val="30"/>
        </w:rPr>
        <w:t>。</w:t>
      </w:r>
      <w:r>
        <w:rPr>
          <w:rFonts w:hint="eastAsia" w:ascii="仿宋_GB2312" w:hAnsi="方正仿宋_GBK" w:eastAsia="仿宋_GB2312" w:cs="方正仿宋_GBK"/>
          <w:sz w:val="30"/>
          <w:szCs w:val="30"/>
        </w:rPr>
        <w:t>新城建设加速崛起，太湖新城完成投资1600亿元，其中政府性投入500亿元左右，产城融合发展得到扎实推进。教育、医疗设施布局合理，苏州大学未来校区成功落户，苏州九院、苏州京东方国际医院即将竣工投用，是一座学有优教、劳有丰酬、病有良医、老有颐养、行有通衢、住有适所、天蓝水清的乐居之城。</w:t>
      </w:r>
    </w:p>
    <w:p>
      <w:pPr>
        <w:spacing w:line="520" w:lineRule="exact"/>
        <w:ind w:firstLine="600" w:firstLineChars="200"/>
        <w:rPr>
          <w:rFonts w:ascii="仿宋_GB2312" w:hAnsi="方正仿宋_GBK" w:eastAsia="仿宋_GB2312" w:cs="方正仿宋_GBK"/>
          <w:sz w:val="30"/>
          <w:szCs w:val="30"/>
        </w:rPr>
      </w:pPr>
    </w:p>
    <w:p>
      <w:pPr>
        <w:spacing w:line="400" w:lineRule="exact"/>
        <w:jc w:val="center"/>
        <w:rPr>
          <w:rFonts w:ascii="仿宋_GB2312" w:eastAsia="仿宋_GB2312"/>
          <w:sz w:val="28"/>
          <w:szCs w:val="28"/>
        </w:rPr>
      </w:pPr>
      <w:r>
        <w:rPr>
          <w:rFonts w:ascii="仿宋_GB2312" w:eastAsia="仿宋_GB2312"/>
          <w:sz w:val="28"/>
          <w:szCs w:val="28"/>
        </w:rPr>
        <w:br w:type="page"/>
      </w:r>
    </w:p>
    <w:p>
      <w:pPr>
        <w:spacing w:line="660" w:lineRule="exact"/>
        <w:jc w:val="center"/>
        <w:rPr>
          <w:rFonts w:hint="eastAsia"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苏州市吴江区教育情况简介</w:t>
      </w:r>
    </w:p>
    <w:p>
      <w:pPr>
        <w:spacing w:line="520" w:lineRule="exact"/>
        <w:rPr>
          <w:rFonts w:ascii="微软雅黑" w:hAnsi="微软雅黑" w:eastAsia="微软雅黑"/>
          <w:b/>
          <w:sz w:val="44"/>
          <w:szCs w:val="44"/>
        </w:rPr>
      </w:pPr>
    </w:p>
    <w:p>
      <w:pPr>
        <w:spacing w:line="520" w:lineRule="exact"/>
        <w:ind w:firstLine="600" w:firstLineChars="200"/>
        <w:rPr>
          <w:rFonts w:ascii="仿宋_GB2312" w:hAnsi="方正仿宋_GBK" w:eastAsia="仿宋_GB2312" w:cs="方正仿宋_GBK"/>
          <w:sz w:val="30"/>
          <w:szCs w:val="30"/>
        </w:rPr>
      </w:pPr>
      <w:r>
        <w:rPr>
          <w:rFonts w:ascii="仿宋_GB2312" w:hAnsi="方正仿宋_GBK" w:eastAsia="仿宋_GB2312" w:cs="方正仿宋_GBK"/>
          <w:sz w:val="30"/>
          <w:szCs w:val="30"/>
        </w:rPr>
        <w:t>近年来，吴江以“办好人民满意的教育”为宗旨，坚持规划引领，加大教育投入，</w:t>
      </w:r>
      <w:r>
        <w:rPr>
          <w:rFonts w:hint="eastAsia" w:ascii="仿宋_GB2312" w:hAnsi="方正仿宋_GBK" w:eastAsia="仿宋_GB2312" w:cs="方正仿宋_GBK"/>
          <w:sz w:val="30"/>
          <w:szCs w:val="30"/>
        </w:rPr>
        <w:t>深入实施《深化教育综合改革 全面提高教育质量三年行动计划》，着力打造“教育名区”</w:t>
      </w:r>
      <w:r>
        <w:rPr>
          <w:rFonts w:ascii="仿宋_GB2312" w:hAnsi="方正仿宋_GBK" w:eastAsia="仿宋_GB2312" w:cs="方正仿宋_GBK"/>
          <w:sz w:val="30"/>
          <w:szCs w:val="30"/>
        </w:rPr>
        <w:t>。</w:t>
      </w:r>
      <w:r>
        <w:rPr>
          <w:rFonts w:hint="eastAsia" w:ascii="仿宋_GB2312" w:hAnsi="方正仿宋_GBK" w:eastAsia="仿宋_GB2312" w:cs="方正仿宋_GBK"/>
          <w:sz w:val="30"/>
          <w:szCs w:val="30"/>
        </w:rPr>
        <w:t>目前</w:t>
      </w:r>
      <w:r>
        <w:rPr>
          <w:rFonts w:ascii="仿宋_GB2312" w:hAnsi="方正仿宋_GBK" w:eastAsia="仿宋_GB2312" w:cs="方正仿宋_GBK"/>
          <w:sz w:val="30"/>
          <w:szCs w:val="30"/>
        </w:rPr>
        <w:t>，全区</w:t>
      </w:r>
      <w:r>
        <w:rPr>
          <w:rFonts w:hint="eastAsia" w:ascii="仿宋_GB2312" w:hAnsi="方正仿宋_GBK" w:eastAsia="仿宋_GB2312" w:cs="方正仿宋_GBK"/>
          <w:sz w:val="30"/>
          <w:szCs w:val="30"/>
        </w:rPr>
        <w:t>拥有</w:t>
      </w:r>
      <w:r>
        <w:rPr>
          <w:rFonts w:ascii="仿宋_GB2312" w:hAnsi="方正仿宋_GBK" w:eastAsia="仿宋_GB2312" w:cs="方正仿宋_GBK"/>
          <w:sz w:val="30"/>
          <w:szCs w:val="30"/>
        </w:rPr>
        <w:t>各级各类全日制学校（园）1</w:t>
      </w:r>
      <w:r>
        <w:rPr>
          <w:rFonts w:hint="eastAsia" w:ascii="仿宋_GB2312" w:hAnsi="方正仿宋_GBK" w:eastAsia="仿宋_GB2312" w:cs="方正仿宋_GBK"/>
          <w:sz w:val="30"/>
          <w:szCs w:val="30"/>
        </w:rPr>
        <w:t>69</w:t>
      </w:r>
      <w:r>
        <w:rPr>
          <w:rFonts w:ascii="仿宋_GB2312" w:hAnsi="方正仿宋_GBK" w:eastAsia="仿宋_GB2312" w:cs="方正仿宋_GBK"/>
          <w:sz w:val="30"/>
          <w:szCs w:val="30"/>
        </w:rPr>
        <w:t>所，在校（园）学生</w:t>
      </w:r>
      <w:r>
        <w:rPr>
          <w:rFonts w:hint="eastAsia" w:ascii="仿宋_GB2312" w:hAnsi="方正仿宋_GBK" w:eastAsia="仿宋_GB2312" w:cs="方正仿宋_GBK"/>
          <w:sz w:val="30"/>
          <w:szCs w:val="30"/>
        </w:rPr>
        <w:t>近19.5万</w:t>
      </w:r>
      <w:r>
        <w:rPr>
          <w:rFonts w:ascii="仿宋_GB2312" w:hAnsi="方正仿宋_GBK" w:eastAsia="仿宋_GB2312" w:cs="方正仿宋_GBK"/>
          <w:sz w:val="30"/>
          <w:szCs w:val="30"/>
        </w:rPr>
        <w:t>人，教</w:t>
      </w:r>
      <w:r>
        <w:rPr>
          <w:rFonts w:hint="eastAsia" w:ascii="仿宋_GB2312" w:hAnsi="方正仿宋_GBK" w:eastAsia="仿宋_GB2312" w:cs="方正仿宋_GBK"/>
          <w:sz w:val="30"/>
          <w:szCs w:val="30"/>
        </w:rPr>
        <w:t>师1万余</w:t>
      </w:r>
      <w:r>
        <w:rPr>
          <w:rFonts w:ascii="仿宋_GB2312" w:hAnsi="方正仿宋_GBK" w:eastAsia="仿宋_GB2312" w:cs="方正仿宋_GBK"/>
          <w:sz w:val="30"/>
          <w:szCs w:val="30"/>
        </w:rPr>
        <w:t>人。先后荣获全国数字化学习先行区、全国义务教育发展基本均衡县（市、区）、全国社区教育实验区、全国中小学责任督学挂牌督导创新县（市、区）等荣誉称号。</w:t>
      </w:r>
    </w:p>
    <w:p>
      <w:pPr>
        <w:spacing w:line="560" w:lineRule="exact"/>
        <w:jc w:val="left"/>
      </w:pPr>
      <w:r>
        <w:rPr>
          <w:rFonts w:hint="eastAsia" w:ascii="仿宋_GB2312" w:hAnsi="方正仿宋_GBK" w:eastAsia="仿宋_GB2312" w:cs="方正仿宋_GBK"/>
          <w:sz w:val="30"/>
          <w:szCs w:val="30"/>
        </w:rPr>
        <w:t>全区学前三年入园率、义务教育阶段适龄儿童入学率、巩固率保持100%，残疾儿童少年毛入学率100%。高中段毛入学率保持100%。全区共建立了5个紧密型、18个协作型、17个帮扶型以及5个纵向式教育集团，深入开展集团化办学的特色探索，有效推动了教育优质均衡发展。以立德树人为根本，着力推动学生德智体美劳全面发展，学校的各类文化、体育活动百花齐放，学生的文艺表演登上了中央电视台、全国艺术展演等国家级舞台。一年来获评国家级基础教育教学成果奖2项、省基础教育内涵建设项目6项。吴江始终坚持“人才强教”战略，涌现出管建刚、薛法根、唐琴等一大批有影响力的名师，目前全区拥有国家“万人计划”教学名师2人，省人民教育家培养工程培养对象3人，在职省特级教师35人，正高级教师20人，苏州大市学科带头人224人，入选姑苏教育人才计划41人（次），区级以上骨干教师比例近33%，居苏州大市前列。</w:t>
      </w:r>
    </w:p>
    <w:sectPr>
      <w:footerReference r:id="rId3" w:type="default"/>
      <w:pgSz w:w="11850" w:h="16783"/>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1"/>
        <w:szCs w:val="21"/>
      </w:rPr>
    </w:pPr>
    <w:r>
      <w:rPr>
        <w:rStyle w:val="6"/>
        <w:rFonts w:ascii="Times New Roman" w:hAnsi="Times New Roman"/>
        <w:sz w:val="21"/>
        <w:szCs w:val="21"/>
      </w:rPr>
      <w:fldChar w:fldCharType="begin"/>
    </w:r>
    <w:r>
      <w:rPr>
        <w:rStyle w:val="6"/>
        <w:rFonts w:ascii="Times New Roman" w:hAnsi="Times New Roman"/>
        <w:sz w:val="21"/>
        <w:szCs w:val="21"/>
      </w:rPr>
      <w:instrText xml:space="preserve">PAGE  </w:instrText>
    </w:r>
    <w:r>
      <w:rPr>
        <w:rStyle w:val="6"/>
        <w:rFonts w:ascii="Times New Roman" w:hAnsi="Times New Roman"/>
        <w:sz w:val="21"/>
        <w:szCs w:val="21"/>
      </w:rPr>
      <w:fldChar w:fldCharType="separate"/>
    </w:r>
    <w:r>
      <w:rPr>
        <w:rStyle w:val="6"/>
        <w:rFonts w:ascii="Times New Roman" w:hAnsi="Times New Roman"/>
        <w:sz w:val="21"/>
        <w:szCs w:val="21"/>
      </w:rPr>
      <w:t>1</w:t>
    </w:r>
    <w:r>
      <w:rPr>
        <w:rStyle w:val="6"/>
        <w:rFonts w:ascii="Times New Roman" w:hAnsi="Times New Roman"/>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1F63"/>
    <w:rsid w:val="00023339"/>
    <w:rsid w:val="00075C96"/>
    <w:rsid w:val="00216029"/>
    <w:rsid w:val="00246324"/>
    <w:rsid w:val="004A3C37"/>
    <w:rsid w:val="00625B56"/>
    <w:rsid w:val="00670937"/>
    <w:rsid w:val="006C240B"/>
    <w:rsid w:val="00700F23"/>
    <w:rsid w:val="007C3A5C"/>
    <w:rsid w:val="007E6C1E"/>
    <w:rsid w:val="00894019"/>
    <w:rsid w:val="008B1F63"/>
    <w:rsid w:val="008F6533"/>
    <w:rsid w:val="009041D6"/>
    <w:rsid w:val="00925058"/>
    <w:rsid w:val="00944282"/>
    <w:rsid w:val="00B25793"/>
    <w:rsid w:val="00B26259"/>
    <w:rsid w:val="00B30B18"/>
    <w:rsid w:val="00BE4D3C"/>
    <w:rsid w:val="00C600AE"/>
    <w:rsid w:val="00C65202"/>
    <w:rsid w:val="00DC52DE"/>
    <w:rsid w:val="00DF687A"/>
    <w:rsid w:val="00E73ECF"/>
    <w:rsid w:val="00EB3650"/>
    <w:rsid w:val="00F71CFB"/>
    <w:rsid w:val="00F97E25"/>
    <w:rsid w:val="02735662"/>
    <w:rsid w:val="08225173"/>
    <w:rsid w:val="161A7867"/>
    <w:rsid w:val="19600452"/>
    <w:rsid w:val="2D5D6C03"/>
    <w:rsid w:val="2DD90EF5"/>
    <w:rsid w:val="35753AEA"/>
    <w:rsid w:val="3AD14F94"/>
    <w:rsid w:val="3B214E04"/>
    <w:rsid w:val="4A25205D"/>
    <w:rsid w:val="52521B42"/>
    <w:rsid w:val="5AB87882"/>
    <w:rsid w:val="5B2A014C"/>
    <w:rsid w:val="6B570F0A"/>
    <w:rsid w:val="70AE4531"/>
    <w:rsid w:val="78196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463</Words>
  <Characters>2642</Characters>
  <Lines>22</Lines>
  <Paragraphs>6</Paragraphs>
  <TotalTime>1</TotalTime>
  <ScaleCrop>false</ScaleCrop>
  <LinksUpToDate>false</LinksUpToDate>
  <CharactersWithSpaces>3099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2018-10-15T06:05:00Z</dcterms:created>
  <dc:creator>办公室-刘聪</dc:creator>
  <cp:lastModifiedBy>Administrator</cp:lastModifiedBy>
  <dcterms:modified xsi:type="dcterms:W3CDTF">2019-10-12T02:00:15Z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