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pPr>
    </w:p>
    <w:tbl>
      <w:tblPr>
        <w:tblW w:w="8868" w:type="dxa"/>
        <w:jc w:val="center"/>
        <w:tblInd w:w="2629" w:type="dxa"/>
        <w:shd w:val="clear"/>
        <w:tblLayout w:type="fixed"/>
        <w:tblCellMar>
          <w:top w:w="0" w:type="dxa"/>
          <w:left w:w="84" w:type="dxa"/>
          <w:bottom w:w="0" w:type="dxa"/>
          <w:right w:w="84" w:type="dxa"/>
        </w:tblCellMar>
      </w:tblPr>
      <w:tblGrid>
        <w:gridCol w:w="516"/>
        <w:gridCol w:w="960"/>
        <w:gridCol w:w="948"/>
        <w:gridCol w:w="1068"/>
        <w:gridCol w:w="1044"/>
        <w:gridCol w:w="4332"/>
      </w:tblGrid>
      <w:tr>
        <w:tblPrEx>
          <w:tblLayout w:type="fixed"/>
          <w:tblCellMar>
            <w:top w:w="0" w:type="dxa"/>
            <w:left w:w="84" w:type="dxa"/>
            <w:bottom w:w="0" w:type="dxa"/>
            <w:right w:w="84" w:type="dxa"/>
          </w:tblCellMar>
        </w:tblPrEx>
        <w:trPr>
          <w:trHeight w:val="912"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ascii="黑体" w:hAnsi="宋体" w:eastAsia="黑体" w:cs="宋体"/>
                <w:kern w:val="0"/>
                <w:sz w:val="22"/>
                <w:szCs w:val="22"/>
                <w:bdr w:val="none" w:color="auto" w:sz="0" w:space="0"/>
              </w:rPr>
              <w:t>序号</w:t>
            </w:r>
          </w:p>
        </w:tc>
        <w:tc>
          <w:tcPr>
            <w:tcW w:w="960"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黑体" w:hAnsi="宋体" w:eastAsia="黑体" w:cs="宋体"/>
                <w:kern w:val="0"/>
                <w:sz w:val="22"/>
                <w:szCs w:val="22"/>
                <w:bdr w:val="none" w:color="auto" w:sz="0" w:space="0"/>
              </w:rPr>
              <w:t>部门</w:t>
            </w:r>
          </w:p>
        </w:tc>
        <w:tc>
          <w:tcPr>
            <w:tcW w:w="948"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黑体" w:hAnsi="宋体" w:eastAsia="黑体" w:cs="宋体"/>
                <w:kern w:val="0"/>
                <w:sz w:val="22"/>
                <w:szCs w:val="22"/>
                <w:bdr w:val="none" w:color="auto" w:sz="0" w:space="0"/>
              </w:rPr>
              <w:t>岗位</w:t>
            </w:r>
          </w:p>
        </w:tc>
        <w:tc>
          <w:tcPr>
            <w:tcW w:w="1068"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黑体" w:hAnsi="宋体" w:eastAsia="黑体" w:cs="宋体"/>
                <w:kern w:val="0"/>
                <w:sz w:val="22"/>
                <w:szCs w:val="22"/>
                <w:bdr w:val="none" w:color="auto" w:sz="0" w:space="0"/>
              </w:rPr>
              <w:t>专 业</w:t>
            </w:r>
          </w:p>
        </w:tc>
        <w:tc>
          <w:tcPr>
            <w:tcW w:w="1044"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黑体" w:hAnsi="宋体" w:eastAsia="黑体" w:cs="宋体"/>
                <w:kern w:val="0"/>
                <w:sz w:val="22"/>
                <w:szCs w:val="22"/>
                <w:bdr w:val="none" w:color="auto" w:sz="0" w:space="0"/>
              </w:rPr>
              <w:t>拟进</w:t>
            </w:r>
          </w:p>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黑体" w:hAnsi="宋体" w:eastAsia="黑体" w:cs="宋体"/>
                <w:kern w:val="0"/>
                <w:sz w:val="22"/>
                <w:szCs w:val="22"/>
                <w:bdr w:val="none" w:color="auto" w:sz="0" w:space="0"/>
              </w:rPr>
              <w:t>人数</w:t>
            </w:r>
          </w:p>
        </w:tc>
        <w:tc>
          <w:tcPr>
            <w:tcW w:w="4332"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黑体" w:hAnsi="宋体" w:eastAsia="黑体" w:cs="宋体"/>
                <w:kern w:val="0"/>
                <w:sz w:val="22"/>
                <w:szCs w:val="22"/>
                <w:bdr w:val="none" w:color="auto" w:sz="0" w:space="0"/>
              </w:rPr>
              <w:t>进人条件</w:t>
            </w:r>
          </w:p>
        </w:tc>
      </w:tr>
      <w:tr>
        <w:tblPrEx>
          <w:shd w:val="clear"/>
          <w:tblLayout w:type="fixed"/>
          <w:tblCellMar>
            <w:top w:w="0" w:type="dxa"/>
            <w:left w:w="84" w:type="dxa"/>
            <w:bottom w:w="0" w:type="dxa"/>
            <w:right w:w="84" w:type="dxa"/>
          </w:tblCellMar>
        </w:tblPrEx>
        <w:trPr>
          <w:trHeight w:val="1597" w:hRule="atLeast"/>
          <w:jc w:val="center"/>
        </w:trPr>
        <w:tc>
          <w:tcPr>
            <w:tcW w:w="516"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8"/>
                <w:szCs w:val="18"/>
                <w:bdr w:val="none" w:color="auto" w:sz="0" w:space="0"/>
                <w:lang w:val="en-US"/>
              </w:rPr>
              <w:t>1</w:t>
            </w:r>
          </w:p>
        </w:tc>
        <w:tc>
          <w:tcPr>
            <w:tcW w:w="960" w:type="dxa"/>
            <w:vMerge w:val="restart"/>
            <w:tcBorders>
              <w:top w:val="nil"/>
              <w:left w:val="single" w:color="000000" w:sz="4" w:space="0"/>
              <w:bottom w:val="nil"/>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经济与</w:t>
            </w:r>
          </w:p>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管理系</w:t>
            </w:r>
          </w:p>
        </w:tc>
        <w:tc>
          <w:tcPr>
            <w:tcW w:w="948" w:type="dxa"/>
            <w:vMerge w:val="restart"/>
            <w:tcBorders>
              <w:top w:val="nil"/>
              <w:left w:val="single" w:color="000000" w:sz="4" w:space="0"/>
              <w:bottom w:val="nil"/>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专任教师</w:t>
            </w:r>
          </w:p>
        </w:tc>
        <w:tc>
          <w:tcPr>
            <w:tcW w:w="106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会计学</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rPr>
              <w:t>（审计方向）</w:t>
            </w:r>
          </w:p>
        </w:tc>
        <w:tc>
          <w:tcPr>
            <w:tcW w:w="1044"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lang w:val="en-US"/>
              </w:rPr>
              <w:t>1</w:t>
            </w:r>
          </w:p>
        </w:tc>
        <w:tc>
          <w:tcPr>
            <w:tcW w:w="4332"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left"/>
              <w:rPr>
                <w:sz w:val="18"/>
                <w:szCs w:val="18"/>
              </w:rPr>
            </w:pPr>
            <w:r>
              <w:rPr>
                <w:rFonts w:hint="eastAsia" w:ascii="宋体" w:hAnsi="宋体" w:eastAsia="宋体" w:cs="宋体"/>
                <w:kern w:val="0"/>
                <w:sz w:val="15"/>
                <w:szCs w:val="15"/>
                <w:bdr w:val="none" w:color="auto" w:sz="0" w:space="0"/>
                <w:lang w:val="en-US"/>
              </w:rPr>
              <w:t>1.</w:t>
            </w:r>
            <w:r>
              <w:rPr>
                <w:rFonts w:hint="eastAsia" w:ascii="宋体" w:hAnsi="宋体" w:eastAsia="宋体" w:cs="宋体"/>
                <w:kern w:val="0"/>
                <w:sz w:val="15"/>
                <w:szCs w:val="15"/>
                <w:bdr w:val="none" w:color="auto" w:sz="0" w:space="0"/>
              </w:rPr>
              <w:t>硕士及以上学历研究生。其中，本科阶段要求全日制、原则上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及以上高校；国内研究生阶段要求全日制、原则上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及以上高校，国（境）外研究生阶段须经教育部留学服务中心进行学历学位认证。</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rPr>
              <w:t>中国注册会计师或</w:t>
            </w:r>
            <w:r>
              <w:rPr>
                <w:rFonts w:hint="eastAsia" w:ascii="宋体" w:hAnsi="宋体" w:eastAsia="宋体" w:cs="宋体"/>
                <w:kern w:val="0"/>
                <w:sz w:val="15"/>
                <w:szCs w:val="15"/>
                <w:bdr w:val="none" w:color="auto" w:sz="0" w:space="0"/>
                <w:lang w:val="en-US"/>
              </w:rPr>
              <w:t>ACCA</w:t>
            </w:r>
            <w:r>
              <w:rPr>
                <w:rFonts w:hint="eastAsia" w:ascii="宋体" w:hAnsi="宋体" w:eastAsia="宋体" w:cs="宋体"/>
                <w:kern w:val="0"/>
                <w:sz w:val="15"/>
                <w:szCs w:val="15"/>
                <w:bdr w:val="none" w:color="auto" w:sz="0" w:space="0"/>
              </w:rPr>
              <w:t>优先考虑。</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3.</w:t>
            </w:r>
            <w:r>
              <w:rPr>
                <w:rFonts w:hint="eastAsia" w:ascii="宋体" w:hAnsi="宋体" w:eastAsia="宋体" w:cs="宋体"/>
                <w:kern w:val="0"/>
                <w:sz w:val="15"/>
                <w:szCs w:val="15"/>
                <w:bdr w:val="none" w:color="auto" w:sz="0" w:space="0"/>
              </w:rPr>
              <w:t>本科专业为会计学或审计学专业，硕士专业为会计学、财务管理、金融学、审计学专业，本科或研究生专业为审计学专业优先考虑。</w:t>
            </w:r>
          </w:p>
        </w:tc>
      </w:tr>
      <w:tr>
        <w:tblPrEx>
          <w:shd w:val="clear"/>
          <w:tblLayout w:type="fixed"/>
          <w:tblCellMar>
            <w:top w:w="0" w:type="dxa"/>
            <w:left w:w="84" w:type="dxa"/>
            <w:bottom w:w="0" w:type="dxa"/>
            <w:right w:w="84" w:type="dxa"/>
          </w:tblCellMar>
        </w:tblPrEx>
        <w:trPr>
          <w:trHeight w:val="1621" w:hRule="atLeast"/>
          <w:jc w:val="center"/>
        </w:trPr>
        <w:tc>
          <w:tcPr>
            <w:tcW w:w="516"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8"/>
                <w:szCs w:val="18"/>
                <w:bdr w:val="none" w:color="auto" w:sz="0" w:space="0"/>
                <w:lang w:val="en-US"/>
              </w:rPr>
              <w:t>2</w:t>
            </w:r>
          </w:p>
        </w:tc>
        <w:tc>
          <w:tcPr>
            <w:tcW w:w="960" w:type="dxa"/>
            <w:vMerge w:val="continue"/>
            <w:tcBorders>
              <w:top w:val="nil"/>
              <w:left w:val="single" w:color="000000" w:sz="4" w:space="0"/>
              <w:bottom w:val="nil"/>
              <w:right w:val="single" w:color="000000" w:sz="4" w:space="0"/>
            </w:tcBorders>
            <w:shd w:val="clear" w:color="auto" w:fill="FFFFFF"/>
            <w:vAlign w:val="center"/>
          </w:tcPr>
          <w:p>
            <w:pPr>
              <w:rPr>
                <w:rFonts w:hint="eastAsia" w:ascii="宋体" w:hAnsi="宋体" w:eastAsia="宋体" w:cs="宋体"/>
                <w:color w:val="333333"/>
                <w:sz w:val="14"/>
                <w:szCs w:val="14"/>
              </w:rPr>
            </w:pPr>
          </w:p>
        </w:tc>
        <w:tc>
          <w:tcPr>
            <w:tcW w:w="948" w:type="dxa"/>
            <w:vMerge w:val="continue"/>
            <w:tcBorders>
              <w:top w:val="nil"/>
              <w:left w:val="single" w:color="000000" w:sz="4" w:space="0"/>
              <w:bottom w:val="nil"/>
              <w:right w:val="single" w:color="000000" w:sz="4" w:space="0"/>
            </w:tcBorders>
            <w:shd w:val="clear" w:color="auto" w:fill="FFFFFF"/>
            <w:vAlign w:val="center"/>
          </w:tcPr>
          <w:p>
            <w:pPr>
              <w:rPr>
                <w:rFonts w:hint="eastAsia" w:ascii="宋体" w:hAnsi="宋体" w:eastAsia="宋体" w:cs="宋体"/>
                <w:color w:val="333333"/>
                <w:sz w:val="14"/>
                <w:szCs w:val="14"/>
              </w:rPr>
            </w:pPr>
          </w:p>
        </w:tc>
        <w:tc>
          <w:tcPr>
            <w:tcW w:w="106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财务管理</w:t>
            </w:r>
          </w:p>
        </w:tc>
        <w:tc>
          <w:tcPr>
            <w:tcW w:w="1044"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lang w:val="en-US"/>
              </w:rPr>
              <w:t>1-2</w:t>
            </w:r>
            <w:r>
              <w:rPr>
                <w:rFonts w:hint="eastAsia" w:ascii="宋体" w:hAnsi="宋体" w:eastAsia="宋体" w:cs="宋体"/>
                <w:kern w:val="0"/>
                <w:sz w:val="15"/>
                <w:szCs w:val="15"/>
                <w:bdr w:val="none" w:color="auto" w:sz="0" w:space="0"/>
              </w:rPr>
              <w:t>名</w:t>
            </w:r>
          </w:p>
        </w:tc>
        <w:tc>
          <w:tcPr>
            <w:tcW w:w="4332"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left"/>
              <w:rPr>
                <w:sz w:val="18"/>
                <w:szCs w:val="18"/>
              </w:rPr>
            </w:pPr>
            <w:r>
              <w:rPr>
                <w:rFonts w:hint="eastAsia" w:ascii="宋体" w:hAnsi="宋体" w:eastAsia="宋体" w:cs="宋体"/>
                <w:kern w:val="0"/>
                <w:sz w:val="15"/>
                <w:szCs w:val="15"/>
                <w:bdr w:val="none" w:color="auto" w:sz="0" w:space="0"/>
                <w:lang w:val="en-US"/>
              </w:rPr>
              <w:t>1.</w:t>
            </w:r>
            <w:r>
              <w:rPr>
                <w:rFonts w:hint="eastAsia" w:ascii="宋体" w:hAnsi="宋体" w:eastAsia="宋体" w:cs="宋体"/>
                <w:kern w:val="0"/>
                <w:sz w:val="15"/>
                <w:szCs w:val="15"/>
                <w:bdr w:val="none" w:color="auto" w:sz="0" w:space="0"/>
              </w:rPr>
              <w:t>硕士及以上学历研究生。其中，本科阶段要求全日制、原则上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及以上高校；国内研究生阶段要求全日制、原则上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及以上高校，国（境）外研究生阶段须经教育部留学服务中心进行学历学位认证。</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rPr>
              <w:t>本科专业为经济学类、管理学类专业，硕士专业为财务管理、会计学、金融学、统计学。</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3.</w:t>
            </w:r>
            <w:r>
              <w:rPr>
                <w:rFonts w:hint="eastAsia" w:ascii="宋体" w:hAnsi="宋体" w:eastAsia="宋体" w:cs="宋体"/>
                <w:kern w:val="0"/>
                <w:sz w:val="15"/>
                <w:szCs w:val="15"/>
                <w:bdr w:val="none" w:color="auto" w:sz="0" w:space="0"/>
              </w:rPr>
              <w:t>本科或硕士专业为财务管理专业优先考虑。</w:t>
            </w:r>
          </w:p>
        </w:tc>
      </w:tr>
      <w:tr>
        <w:tblPrEx>
          <w:shd w:val="clear"/>
          <w:tblLayout w:type="fixed"/>
          <w:tblCellMar>
            <w:top w:w="0" w:type="dxa"/>
            <w:left w:w="84" w:type="dxa"/>
            <w:bottom w:w="0" w:type="dxa"/>
            <w:right w:w="84" w:type="dxa"/>
          </w:tblCellMar>
        </w:tblPrEx>
        <w:trPr>
          <w:trHeight w:val="1788" w:hRule="atLeast"/>
          <w:jc w:val="center"/>
        </w:trPr>
        <w:tc>
          <w:tcPr>
            <w:tcW w:w="516"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8"/>
                <w:szCs w:val="18"/>
                <w:bdr w:val="none" w:color="auto" w:sz="0" w:space="0"/>
                <w:lang w:val="en-US"/>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机电与材料工程系</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专任教师</w:t>
            </w:r>
          </w:p>
        </w:tc>
        <w:tc>
          <w:tcPr>
            <w:tcW w:w="106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机械工程</w:t>
            </w:r>
          </w:p>
        </w:tc>
        <w:tc>
          <w:tcPr>
            <w:tcW w:w="1044"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lang w:val="en-US"/>
              </w:rPr>
              <w:t>1</w:t>
            </w:r>
          </w:p>
        </w:tc>
        <w:tc>
          <w:tcPr>
            <w:tcW w:w="4332"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left"/>
              <w:rPr>
                <w:sz w:val="18"/>
                <w:szCs w:val="18"/>
              </w:rPr>
            </w:pPr>
            <w:r>
              <w:rPr>
                <w:rFonts w:hint="eastAsia" w:ascii="宋体" w:hAnsi="宋体" w:eastAsia="宋体" w:cs="宋体"/>
                <w:kern w:val="0"/>
                <w:sz w:val="15"/>
                <w:szCs w:val="15"/>
                <w:bdr w:val="none" w:color="auto" w:sz="0" w:space="0"/>
                <w:lang w:val="en-US"/>
              </w:rPr>
              <w:t>1.</w:t>
            </w:r>
            <w:r>
              <w:rPr>
                <w:rFonts w:hint="eastAsia" w:ascii="宋体" w:hAnsi="宋体" w:eastAsia="宋体" w:cs="宋体"/>
                <w:kern w:val="0"/>
                <w:sz w:val="15"/>
                <w:szCs w:val="15"/>
                <w:bdr w:val="none" w:color="auto" w:sz="0" w:space="0"/>
              </w:rPr>
              <w:t>硕士及以上学历研究生。其中，本科阶段要求全日制、原则上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及以上高校；国内研究生阶段要求全日制、原则上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及以上高校，国（境）外研究生阶段须经教育部留学服务中心进行学历学位认证。</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rPr>
              <w:t>机械设计制造方向：应对加工工艺及设备、现代制造技术方面有充分的了解，有较强的实践及动手能力，本科与硕士专业均为机械制造方向。</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3.</w:t>
            </w:r>
            <w:r>
              <w:rPr>
                <w:rFonts w:hint="eastAsia" w:ascii="宋体" w:hAnsi="宋体" w:eastAsia="宋体" w:cs="宋体"/>
                <w:kern w:val="0"/>
                <w:sz w:val="15"/>
                <w:szCs w:val="15"/>
                <w:bdr w:val="none" w:color="auto" w:sz="0" w:space="0"/>
              </w:rPr>
              <w:t>具有一定的工作经验。</w:t>
            </w:r>
          </w:p>
        </w:tc>
      </w:tr>
      <w:tr>
        <w:tblPrEx>
          <w:shd w:val="clear"/>
          <w:tblLayout w:type="fixed"/>
          <w:tblCellMar>
            <w:top w:w="0" w:type="dxa"/>
            <w:left w:w="84" w:type="dxa"/>
            <w:bottom w:w="0" w:type="dxa"/>
            <w:right w:w="84" w:type="dxa"/>
          </w:tblCellMar>
        </w:tblPrEx>
        <w:trPr>
          <w:trHeight w:val="1633" w:hRule="atLeast"/>
          <w:jc w:val="center"/>
        </w:trPr>
        <w:tc>
          <w:tcPr>
            <w:tcW w:w="516"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8"/>
                <w:szCs w:val="18"/>
                <w:bdr w:val="none" w:color="auto" w:sz="0" w:space="0"/>
                <w:lang w:val="en-US"/>
              </w:rPr>
              <w:t>4</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color w:val="333333"/>
                <w:sz w:val="14"/>
                <w:szCs w:val="14"/>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color w:val="333333"/>
                <w:sz w:val="14"/>
                <w:szCs w:val="14"/>
              </w:rPr>
            </w:pPr>
          </w:p>
        </w:tc>
        <w:tc>
          <w:tcPr>
            <w:tcW w:w="106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材料科学</w:t>
            </w:r>
          </w:p>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与工程</w:t>
            </w:r>
          </w:p>
        </w:tc>
        <w:tc>
          <w:tcPr>
            <w:tcW w:w="1044"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lang w:val="en-US"/>
              </w:rPr>
              <w:t>1</w:t>
            </w:r>
          </w:p>
        </w:tc>
        <w:tc>
          <w:tcPr>
            <w:tcW w:w="4332"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left"/>
              <w:rPr>
                <w:sz w:val="18"/>
                <w:szCs w:val="18"/>
              </w:rPr>
            </w:pPr>
            <w:r>
              <w:rPr>
                <w:rFonts w:hint="eastAsia" w:ascii="宋体" w:hAnsi="宋体" w:eastAsia="宋体" w:cs="宋体"/>
                <w:kern w:val="0"/>
                <w:sz w:val="15"/>
                <w:szCs w:val="15"/>
                <w:bdr w:val="none" w:color="auto" w:sz="0" w:space="0"/>
                <w:lang w:val="en-US"/>
              </w:rPr>
              <w:t>1.</w:t>
            </w:r>
            <w:r>
              <w:rPr>
                <w:rFonts w:hint="eastAsia" w:ascii="宋体" w:hAnsi="宋体" w:eastAsia="宋体" w:cs="宋体"/>
                <w:kern w:val="0"/>
                <w:sz w:val="15"/>
                <w:szCs w:val="15"/>
                <w:bdr w:val="none" w:color="auto" w:sz="0" w:space="0"/>
              </w:rPr>
              <w:t>硕士及以上学历研究生。其中，本科阶段要求全日制、原则上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及以上高校；国内研究生阶段要求全日制、原则上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及以上高校，国（境）外研究生阶段须经教育部留学服务中心进行学历学位认证。</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rPr>
              <w:t>本科专业为材料成型及控制工程专业（模具设计方向），研究生阶段研究课题为材料成型相关课题。</w:t>
            </w:r>
          </w:p>
        </w:tc>
      </w:tr>
      <w:tr>
        <w:tblPrEx>
          <w:shd w:val="clear"/>
          <w:tblLayout w:type="fixed"/>
          <w:tblCellMar>
            <w:top w:w="0" w:type="dxa"/>
            <w:left w:w="84" w:type="dxa"/>
            <w:bottom w:w="0" w:type="dxa"/>
            <w:right w:w="84" w:type="dxa"/>
          </w:tblCellMar>
        </w:tblPrEx>
        <w:trPr>
          <w:trHeight w:val="1788" w:hRule="atLeast"/>
          <w:jc w:val="center"/>
        </w:trPr>
        <w:tc>
          <w:tcPr>
            <w:tcW w:w="516"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8"/>
                <w:szCs w:val="18"/>
                <w:bdr w:val="none" w:color="auto" w:sz="0" w:space="0"/>
                <w:lang w:val="en-US"/>
              </w:rPr>
              <w:t>5</w:t>
            </w:r>
          </w:p>
        </w:tc>
        <w:tc>
          <w:tcPr>
            <w:tcW w:w="9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信息与电气工程系</w:t>
            </w:r>
          </w:p>
        </w:tc>
        <w:tc>
          <w:tcPr>
            <w:tcW w:w="94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专任教师</w:t>
            </w:r>
          </w:p>
        </w:tc>
        <w:tc>
          <w:tcPr>
            <w:tcW w:w="106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电气</w:t>
            </w:r>
          </w:p>
        </w:tc>
        <w:tc>
          <w:tcPr>
            <w:tcW w:w="1044"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lang w:val="en-US"/>
              </w:rPr>
              <w:t>1</w:t>
            </w:r>
          </w:p>
        </w:tc>
        <w:tc>
          <w:tcPr>
            <w:tcW w:w="4332"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left"/>
              <w:rPr>
                <w:sz w:val="18"/>
                <w:szCs w:val="18"/>
              </w:rPr>
            </w:pPr>
            <w:r>
              <w:rPr>
                <w:rFonts w:hint="eastAsia" w:ascii="宋体" w:hAnsi="宋体" w:eastAsia="宋体" w:cs="宋体"/>
                <w:kern w:val="0"/>
                <w:sz w:val="15"/>
                <w:szCs w:val="15"/>
                <w:bdr w:val="none" w:color="auto" w:sz="0" w:space="0"/>
                <w:lang w:val="en-US"/>
              </w:rPr>
              <w:t>1.</w:t>
            </w:r>
            <w:r>
              <w:rPr>
                <w:rFonts w:hint="eastAsia" w:ascii="宋体" w:hAnsi="宋体" w:eastAsia="宋体" w:cs="宋体"/>
                <w:kern w:val="0"/>
                <w:sz w:val="15"/>
                <w:szCs w:val="15"/>
                <w:bdr w:val="none" w:color="auto" w:sz="0" w:space="0"/>
              </w:rPr>
              <w:t>硕士及以上学历研究生。其中，本科阶段要求全日制、原则上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及以上高校；国内研究生阶段要求全日制、原则上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及以上高校，国（境）外研究生阶段须经教育部留学服务中心进行学历学位认证。</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rPr>
              <w:t>本科专业为电气专业电力系统方向，研究生专业为电力系统及其自动化或高电压与绝缘技术方向。</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3.</w:t>
            </w:r>
            <w:r>
              <w:rPr>
                <w:rFonts w:hint="eastAsia" w:ascii="宋体" w:hAnsi="宋体" w:eastAsia="宋体" w:cs="宋体"/>
                <w:kern w:val="0"/>
                <w:sz w:val="15"/>
                <w:szCs w:val="15"/>
                <w:bdr w:val="none" w:color="auto" w:sz="0" w:space="0"/>
              </w:rPr>
              <w:t>具有输配电系统工程设计能力，以及新能源发电技术能力。</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4.</w:t>
            </w:r>
            <w:r>
              <w:rPr>
                <w:rFonts w:hint="eastAsia" w:ascii="宋体" w:hAnsi="宋体" w:eastAsia="宋体" w:cs="宋体"/>
                <w:kern w:val="0"/>
                <w:sz w:val="15"/>
                <w:szCs w:val="15"/>
                <w:bdr w:val="none" w:color="auto" w:sz="0" w:space="0"/>
              </w:rPr>
              <w:t>具有实践教学经历、工程实践经验者优先考虑。</w:t>
            </w:r>
          </w:p>
        </w:tc>
      </w:tr>
      <w:tr>
        <w:tblPrEx>
          <w:shd w:val="clear"/>
          <w:tblLayout w:type="fixed"/>
          <w:tblCellMar>
            <w:top w:w="0" w:type="dxa"/>
            <w:left w:w="84" w:type="dxa"/>
            <w:bottom w:w="0" w:type="dxa"/>
            <w:right w:w="84" w:type="dxa"/>
          </w:tblCellMar>
        </w:tblPrEx>
        <w:trPr>
          <w:trHeight w:val="2461" w:hRule="atLeast"/>
          <w:jc w:val="center"/>
        </w:trPr>
        <w:tc>
          <w:tcPr>
            <w:tcW w:w="516"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8"/>
                <w:szCs w:val="18"/>
                <w:bdr w:val="none" w:color="auto" w:sz="0" w:space="0"/>
                <w:lang w:val="en-US"/>
              </w:rPr>
              <w:t>6</w:t>
            </w:r>
          </w:p>
        </w:tc>
        <w:tc>
          <w:tcPr>
            <w:tcW w:w="9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计算机系</w:t>
            </w:r>
          </w:p>
        </w:tc>
        <w:tc>
          <w:tcPr>
            <w:tcW w:w="94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专任教师</w:t>
            </w:r>
          </w:p>
        </w:tc>
        <w:tc>
          <w:tcPr>
            <w:tcW w:w="106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计算机科学</w:t>
            </w:r>
          </w:p>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与技术</w:t>
            </w:r>
          </w:p>
        </w:tc>
        <w:tc>
          <w:tcPr>
            <w:tcW w:w="1044"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rPr>
              <w:t>（软件方向、网络方向各</w:t>
            </w:r>
            <w:r>
              <w:rPr>
                <w:rFonts w:hint="eastAsia" w:ascii="宋体" w:hAnsi="宋体" w:eastAsia="宋体" w:cs="宋体"/>
                <w:kern w:val="0"/>
                <w:sz w:val="15"/>
                <w:szCs w:val="15"/>
                <w:bdr w:val="none" w:color="auto" w:sz="0" w:space="0"/>
                <w:lang w:val="en-US"/>
              </w:rPr>
              <w:t>1</w:t>
            </w:r>
            <w:r>
              <w:rPr>
                <w:rFonts w:hint="eastAsia" w:ascii="宋体" w:hAnsi="宋体" w:eastAsia="宋体" w:cs="宋体"/>
                <w:kern w:val="0"/>
                <w:sz w:val="15"/>
                <w:szCs w:val="15"/>
                <w:bdr w:val="none" w:color="auto" w:sz="0" w:space="0"/>
              </w:rPr>
              <w:t>人）</w:t>
            </w:r>
          </w:p>
        </w:tc>
        <w:tc>
          <w:tcPr>
            <w:tcW w:w="4332"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left"/>
              <w:rPr>
                <w:sz w:val="18"/>
                <w:szCs w:val="18"/>
              </w:rPr>
            </w:pPr>
            <w:r>
              <w:rPr>
                <w:rFonts w:hint="eastAsia" w:ascii="宋体" w:hAnsi="宋体" w:eastAsia="宋体" w:cs="宋体"/>
                <w:kern w:val="0"/>
                <w:sz w:val="15"/>
                <w:szCs w:val="15"/>
                <w:bdr w:val="none" w:color="auto" w:sz="0" w:space="0"/>
                <w:lang w:val="en-US"/>
              </w:rPr>
              <w:t>1.</w:t>
            </w:r>
            <w:r>
              <w:rPr>
                <w:rFonts w:hint="eastAsia" w:ascii="宋体" w:hAnsi="宋体" w:eastAsia="宋体" w:cs="宋体"/>
                <w:kern w:val="0"/>
                <w:sz w:val="15"/>
                <w:szCs w:val="15"/>
                <w:bdr w:val="none" w:color="auto" w:sz="0" w:space="0"/>
              </w:rPr>
              <w:t>硕士及以上学历研究生。其中，本科阶段要求全日制、原则上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及以上高校；国内研究生阶段要求全日制、原则上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及以上高校，国（境）外研究生阶段须经教育部留学服务中心进行学历学位认证。</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rPr>
              <w:t>软件方向：本科专业为计算机科学与技术、软件工程、软件服务外包方向，研究生专业为计算机应用技术方向。</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3.</w:t>
            </w:r>
            <w:r>
              <w:rPr>
                <w:rFonts w:hint="eastAsia" w:ascii="宋体" w:hAnsi="宋体" w:eastAsia="宋体" w:cs="宋体"/>
                <w:kern w:val="0"/>
                <w:sz w:val="15"/>
                <w:szCs w:val="15"/>
                <w:bdr w:val="none" w:color="auto" w:sz="0" w:space="0"/>
              </w:rPr>
              <w:t>网络方向：本科专业为计算机科学与技术、网络工程、网络安全、信息对抗方向，研究生专业为网络安全、嵌入式系统方向。</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4.</w:t>
            </w:r>
            <w:r>
              <w:rPr>
                <w:rFonts w:hint="eastAsia" w:ascii="宋体" w:hAnsi="宋体" w:eastAsia="宋体" w:cs="宋体"/>
                <w:kern w:val="0"/>
                <w:sz w:val="15"/>
                <w:szCs w:val="15"/>
                <w:bdr w:val="none" w:color="auto" w:sz="0" w:space="0"/>
              </w:rPr>
              <w:t>具有在企业从事同类工作的经历。</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5.</w:t>
            </w:r>
            <w:r>
              <w:rPr>
                <w:rFonts w:hint="eastAsia" w:ascii="宋体" w:hAnsi="宋体" w:eastAsia="宋体" w:cs="宋体"/>
                <w:kern w:val="0"/>
                <w:sz w:val="15"/>
                <w:szCs w:val="15"/>
                <w:bdr w:val="none" w:color="auto" w:sz="0" w:space="0"/>
              </w:rPr>
              <w:t>海外留学，能够开设双语课程者优先考虑。</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6.</w:t>
            </w:r>
            <w:r>
              <w:rPr>
                <w:rFonts w:hint="eastAsia" w:ascii="宋体" w:hAnsi="宋体" w:eastAsia="宋体" w:cs="宋体"/>
                <w:kern w:val="0"/>
                <w:sz w:val="15"/>
                <w:szCs w:val="15"/>
                <w:bdr w:val="none" w:color="auto" w:sz="0" w:space="0"/>
              </w:rPr>
              <w:t>具有相关工程师证书者优先考虑。</w:t>
            </w:r>
          </w:p>
        </w:tc>
      </w:tr>
      <w:tr>
        <w:tblPrEx>
          <w:shd w:val="clear"/>
          <w:tblLayout w:type="fixed"/>
          <w:tblCellMar>
            <w:top w:w="0" w:type="dxa"/>
            <w:left w:w="84" w:type="dxa"/>
            <w:bottom w:w="0" w:type="dxa"/>
            <w:right w:w="84" w:type="dxa"/>
          </w:tblCellMar>
        </w:tblPrEx>
        <w:trPr>
          <w:trHeight w:val="2113" w:hRule="atLeast"/>
          <w:jc w:val="center"/>
        </w:trPr>
        <w:tc>
          <w:tcPr>
            <w:tcW w:w="516"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8"/>
                <w:szCs w:val="18"/>
                <w:bdr w:val="none" w:color="auto" w:sz="0" w:space="0"/>
                <w:lang w:val="en-US"/>
              </w:rPr>
              <w:t>7</w:t>
            </w:r>
          </w:p>
        </w:tc>
        <w:tc>
          <w:tcPr>
            <w:tcW w:w="960" w:type="dxa"/>
            <w:vMerge w:val="restart"/>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外国语言</w:t>
            </w:r>
          </w:p>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文化系</w:t>
            </w:r>
          </w:p>
        </w:tc>
        <w:tc>
          <w:tcPr>
            <w:tcW w:w="948" w:type="dxa"/>
            <w:vMerge w:val="restart"/>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专任教师</w:t>
            </w:r>
          </w:p>
        </w:tc>
        <w:tc>
          <w:tcPr>
            <w:tcW w:w="106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英语</w:t>
            </w:r>
          </w:p>
        </w:tc>
        <w:tc>
          <w:tcPr>
            <w:tcW w:w="1044"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lang w:val="en-US"/>
              </w:rPr>
              <w:t>1</w:t>
            </w:r>
          </w:p>
        </w:tc>
        <w:tc>
          <w:tcPr>
            <w:tcW w:w="4332"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left"/>
              <w:rPr>
                <w:sz w:val="18"/>
                <w:szCs w:val="18"/>
              </w:rPr>
            </w:pPr>
            <w:r>
              <w:rPr>
                <w:rFonts w:hint="eastAsia" w:ascii="宋体" w:hAnsi="宋体" w:eastAsia="宋体" w:cs="宋体"/>
                <w:kern w:val="0"/>
                <w:sz w:val="15"/>
                <w:szCs w:val="15"/>
                <w:bdr w:val="none" w:color="auto" w:sz="0" w:space="0"/>
                <w:lang w:val="en-US"/>
              </w:rPr>
              <w:t>1.</w:t>
            </w:r>
            <w:r>
              <w:rPr>
                <w:rFonts w:hint="eastAsia" w:ascii="宋体" w:hAnsi="宋体" w:eastAsia="宋体" w:cs="宋体"/>
                <w:kern w:val="0"/>
                <w:sz w:val="15"/>
                <w:szCs w:val="15"/>
                <w:bdr w:val="none" w:color="auto" w:sz="0" w:space="0"/>
              </w:rPr>
              <w:t>硕士及以上学历研究生。其中，本科阶段要求全日制、原则上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及以上高校；国内研究生阶段要求全日制、原则上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及以上高校，国（境）外研究生阶段须经教育部留学服务中心进行学历学位认证。</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rPr>
              <w:t>本科与硕士专业均为商务英语专业。</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3.</w:t>
            </w:r>
            <w:r>
              <w:rPr>
                <w:rFonts w:hint="eastAsia" w:ascii="宋体" w:hAnsi="宋体" w:eastAsia="宋体" w:cs="宋体"/>
                <w:kern w:val="0"/>
                <w:sz w:val="15"/>
                <w:szCs w:val="15"/>
                <w:bdr w:val="none" w:color="auto" w:sz="0" w:space="0"/>
              </w:rPr>
              <w:t>要求语音、语调标准，表达能力强。</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4.</w:t>
            </w:r>
            <w:r>
              <w:rPr>
                <w:rFonts w:hint="eastAsia" w:ascii="宋体" w:hAnsi="宋体" w:eastAsia="宋体" w:cs="宋体"/>
                <w:kern w:val="0"/>
                <w:sz w:val="15"/>
                <w:szCs w:val="15"/>
                <w:bdr w:val="none" w:color="auto" w:sz="0" w:space="0"/>
              </w:rPr>
              <w:t>通过英语专业八级考试。</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5.</w:t>
            </w:r>
            <w:r>
              <w:rPr>
                <w:rFonts w:hint="eastAsia" w:ascii="宋体" w:hAnsi="宋体" w:eastAsia="宋体" w:cs="宋体"/>
                <w:kern w:val="0"/>
                <w:sz w:val="15"/>
                <w:szCs w:val="15"/>
                <w:bdr w:val="none" w:color="auto" w:sz="0" w:space="0"/>
              </w:rPr>
              <w:t>通过</w:t>
            </w:r>
            <w:r>
              <w:rPr>
                <w:rFonts w:hint="eastAsia" w:ascii="宋体" w:hAnsi="宋体" w:eastAsia="宋体" w:cs="宋体"/>
                <w:kern w:val="0"/>
                <w:sz w:val="15"/>
                <w:szCs w:val="15"/>
                <w:bdr w:val="none" w:color="auto" w:sz="0" w:space="0"/>
                <w:lang w:val="en-US"/>
              </w:rPr>
              <w:t>CATTI</w:t>
            </w:r>
            <w:r>
              <w:rPr>
                <w:rFonts w:hint="eastAsia" w:ascii="宋体" w:hAnsi="宋体" w:eastAsia="宋体" w:cs="宋体"/>
                <w:kern w:val="0"/>
                <w:sz w:val="15"/>
                <w:szCs w:val="15"/>
                <w:bdr w:val="none" w:color="auto" w:sz="0" w:space="0"/>
              </w:rPr>
              <w:t>二级及以上或上海市英语高级口译资格考试者优先考虑。</w:t>
            </w:r>
          </w:p>
        </w:tc>
      </w:tr>
      <w:tr>
        <w:tblPrEx>
          <w:shd w:val="clear"/>
          <w:tblLayout w:type="fixed"/>
          <w:tblCellMar>
            <w:top w:w="0" w:type="dxa"/>
            <w:left w:w="84" w:type="dxa"/>
            <w:bottom w:w="0" w:type="dxa"/>
            <w:right w:w="84" w:type="dxa"/>
          </w:tblCellMar>
        </w:tblPrEx>
        <w:trPr>
          <w:trHeight w:val="1668" w:hRule="atLeast"/>
          <w:jc w:val="center"/>
        </w:trPr>
        <w:tc>
          <w:tcPr>
            <w:tcW w:w="516"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8"/>
                <w:szCs w:val="18"/>
                <w:bdr w:val="none" w:color="auto" w:sz="0" w:space="0"/>
                <w:lang w:val="en-US"/>
              </w:rPr>
              <w:t>8</w:t>
            </w:r>
          </w:p>
        </w:tc>
        <w:tc>
          <w:tcPr>
            <w:tcW w:w="960" w:type="dxa"/>
            <w:vMerge w:val="continue"/>
            <w:tcBorders>
              <w:top w:val="nil"/>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color w:val="333333"/>
                <w:sz w:val="14"/>
                <w:szCs w:val="14"/>
              </w:rPr>
            </w:pPr>
          </w:p>
        </w:tc>
        <w:tc>
          <w:tcPr>
            <w:tcW w:w="948" w:type="dxa"/>
            <w:vMerge w:val="continue"/>
            <w:tcBorders>
              <w:top w:val="nil"/>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color w:val="333333"/>
                <w:sz w:val="14"/>
                <w:szCs w:val="14"/>
              </w:rPr>
            </w:pPr>
          </w:p>
        </w:tc>
        <w:tc>
          <w:tcPr>
            <w:tcW w:w="106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日语</w:t>
            </w:r>
          </w:p>
        </w:tc>
        <w:tc>
          <w:tcPr>
            <w:tcW w:w="1044"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lang w:val="en-US"/>
              </w:rPr>
              <w:t>1</w:t>
            </w:r>
          </w:p>
        </w:tc>
        <w:tc>
          <w:tcPr>
            <w:tcW w:w="4332"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left"/>
              <w:rPr>
                <w:sz w:val="18"/>
                <w:szCs w:val="18"/>
              </w:rPr>
            </w:pPr>
            <w:r>
              <w:rPr>
                <w:rFonts w:hint="eastAsia" w:ascii="宋体" w:hAnsi="宋体" w:eastAsia="宋体" w:cs="宋体"/>
                <w:kern w:val="0"/>
                <w:sz w:val="15"/>
                <w:szCs w:val="15"/>
                <w:bdr w:val="none" w:color="auto" w:sz="0" w:space="0"/>
                <w:lang w:val="en-US"/>
              </w:rPr>
              <w:t>1.</w:t>
            </w:r>
            <w:r>
              <w:rPr>
                <w:rFonts w:hint="eastAsia" w:ascii="宋体" w:hAnsi="宋体" w:eastAsia="宋体" w:cs="宋体"/>
                <w:kern w:val="0"/>
                <w:sz w:val="15"/>
                <w:szCs w:val="15"/>
                <w:bdr w:val="none" w:color="auto" w:sz="0" w:space="0"/>
              </w:rPr>
              <w:t>硕士及以上学历研究生。其中，本科、研究生阶段均要求全日制，本科、研究生毕业院校须至少一个为</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及以上高校，国（境）外研究生阶段须经教育部留学服务中心进行学历学位认证。</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rPr>
              <w:t>本科专业须为日语专业。</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3.</w:t>
            </w:r>
            <w:r>
              <w:rPr>
                <w:rFonts w:hint="eastAsia" w:ascii="宋体" w:hAnsi="宋体" w:eastAsia="宋体" w:cs="宋体"/>
                <w:kern w:val="0"/>
                <w:sz w:val="15"/>
                <w:szCs w:val="15"/>
                <w:bdr w:val="none" w:color="auto" w:sz="0" w:space="0"/>
              </w:rPr>
              <w:t>要求语音、语调标准，表达能力强。</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4.</w:t>
            </w:r>
            <w:r>
              <w:rPr>
                <w:rFonts w:hint="eastAsia" w:ascii="宋体" w:hAnsi="宋体" w:eastAsia="宋体" w:cs="宋体"/>
                <w:kern w:val="0"/>
                <w:sz w:val="15"/>
                <w:szCs w:val="15"/>
                <w:bdr w:val="none" w:color="auto" w:sz="0" w:space="0"/>
              </w:rPr>
              <w:t>通过日语专业八级考试。</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5.</w:t>
            </w:r>
            <w:r>
              <w:rPr>
                <w:rFonts w:hint="eastAsia" w:ascii="宋体" w:hAnsi="宋体" w:eastAsia="宋体" w:cs="宋体"/>
                <w:kern w:val="0"/>
                <w:sz w:val="15"/>
                <w:szCs w:val="15"/>
                <w:bdr w:val="none" w:color="auto" w:sz="0" w:space="0"/>
              </w:rPr>
              <w:t>通过国际日本语能力测试</w:t>
            </w:r>
            <w:r>
              <w:rPr>
                <w:rFonts w:hint="eastAsia" w:ascii="宋体" w:hAnsi="宋体" w:eastAsia="宋体" w:cs="宋体"/>
                <w:kern w:val="0"/>
                <w:sz w:val="15"/>
                <w:szCs w:val="15"/>
                <w:bdr w:val="none" w:color="auto" w:sz="0" w:space="0"/>
                <w:lang w:val="en-US"/>
              </w:rPr>
              <w:t>N1</w:t>
            </w:r>
            <w:r>
              <w:rPr>
                <w:rFonts w:hint="eastAsia" w:ascii="宋体" w:hAnsi="宋体" w:eastAsia="宋体" w:cs="宋体"/>
                <w:kern w:val="0"/>
                <w:sz w:val="15"/>
                <w:szCs w:val="15"/>
                <w:bdr w:val="none" w:color="auto" w:sz="0" w:space="0"/>
              </w:rPr>
              <w:t xml:space="preserve">级者优先考虑。 </w:t>
            </w:r>
          </w:p>
        </w:tc>
      </w:tr>
      <w:tr>
        <w:tblPrEx>
          <w:shd w:val="clear"/>
          <w:tblLayout w:type="fixed"/>
          <w:tblCellMar>
            <w:top w:w="0" w:type="dxa"/>
            <w:left w:w="84" w:type="dxa"/>
            <w:bottom w:w="0" w:type="dxa"/>
            <w:right w:w="84" w:type="dxa"/>
          </w:tblCellMar>
        </w:tblPrEx>
        <w:trPr>
          <w:trHeight w:val="1764" w:hRule="atLeast"/>
          <w:jc w:val="center"/>
        </w:trPr>
        <w:tc>
          <w:tcPr>
            <w:tcW w:w="516"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8"/>
                <w:szCs w:val="18"/>
                <w:bdr w:val="none" w:color="auto" w:sz="0" w:space="0"/>
                <w:lang w:val="en-US"/>
              </w:rPr>
              <w:t>9</w:t>
            </w:r>
          </w:p>
        </w:tc>
        <w:tc>
          <w:tcPr>
            <w:tcW w:w="9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基础</w:t>
            </w:r>
          </w:p>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教学部</w:t>
            </w:r>
          </w:p>
        </w:tc>
        <w:tc>
          <w:tcPr>
            <w:tcW w:w="94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专任教师</w:t>
            </w:r>
          </w:p>
        </w:tc>
        <w:tc>
          <w:tcPr>
            <w:tcW w:w="106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数学</w:t>
            </w:r>
          </w:p>
        </w:tc>
        <w:tc>
          <w:tcPr>
            <w:tcW w:w="1044"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lang w:val="en-US"/>
              </w:rPr>
              <w:t>1</w:t>
            </w:r>
          </w:p>
        </w:tc>
        <w:tc>
          <w:tcPr>
            <w:tcW w:w="4332"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left"/>
              <w:rPr>
                <w:sz w:val="18"/>
                <w:szCs w:val="18"/>
              </w:rPr>
            </w:pPr>
            <w:r>
              <w:rPr>
                <w:rFonts w:hint="eastAsia" w:ascii="宋体" w:hAnsi="宋体" w:eastAsia="宋体" w:cs="宋体"/>
                <w:kern w:val="0"/>
                <w:sz w:val="15"/>
                <w:szCs w:val="15"/>
                <w:bdr w:val="none" w:color="auto" w:sz="0" w:space="0"/>
                <w:lang w:val="en-US"/>
              </w:rPr>
              <w:t>1.</w:t>
            </w:r>
            <w:r>
              <w:rPr>
                <w:rFonts w:hint="eastAsia" w:ascii="宋体" w:hAnsi="宋体" w:eastAsia="宋体" w:cs="宋体"/>
                <w:kern w:val="0"/>
                <w:sz w:val="15"/>
                <w:szCs w:val="15"/>
                <w:bdr w:val="none" w:color="auto" w:sz="0" w:space="0"/>
              </w:rPr>
              <w:t>硕士及以上学历研究生。其中，本科阶段要求全日制、原则上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及以上高校；国内研究生阶段要求全日制、原则上</w:t>
            </w:r>
            <w:r>
              <w:rPr>
                <w:rFonts w:hint="eastAsia" w:ascii="宋体" w:hAnsi="宋体" w:eastAsia="宋体" w:cs="宋体"/>
                <w:kern w:val="0"/>
                <w:sz w:val="15"/>
                <w:szCs w:val="15"/>
                <w:bdr w:val="none" w:color="auto" w:sz="0" w:space="0"/>
                <w:lang w:val="en-US"/>
              </w:rPr>
              <w:t>211</w:t>
            </w:r>
            <w:r>
              <w:rPr>
                <w:rFonts w:hint="eastAsia" w:ascii="宋体" w:hAnsi="宋体" w:eastAsia="宋体" w:cs="宋体"/>
                <w:kern w:val="0"/>
                <w:sz w:val="15"/>
                <w:szCs w:val="15"/>
                <w:bdr w:val="none" w:color="auto" w:sz="0" w:space="0"/>
              </w:rPr>
              <w:t>及以上高校，国（境）外研究生阶段须经教育部留学服务中心进行学历学位认证。</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rPr>
              <w:t>本科与硕士专业均为数学专业，包括应用数学、基础数学、计算数学等专业。</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3.</w:t>
            </w:r>
            <w:r>
              <w:rPr>
                <w:rFonts w:hint="eastAsia" w:ascii="宋体" w:hAnsi="宋体" w:eastAsia="宋体" w:cs="宋体"/>
                <w:kern w:val="0"/>
                <w:sz w:val="15"/>
                <w:szCs w:val="15"/>
                <w:bdr w:val="none" w:color="auto" w:sz="0" w:space="0"/>
              </w:rPr>
              <w:t>本科或研究生阶段获得全国数学建模比赛二等奖及以上或</w:t>
            </w:r>
            <w:r>
              <w:rPr>
                <w:rFonts w:hint="eastAsia" w:ascii="宋体" w:hAnsi="宋体" w:eastAsia="宋体" w:cs="宋体"/>
                <w:kern w:val="0"/>
                <w:sz w:val="15"/>
                <w:szCs w:val="15"/>
                <w:bdr w:val="none" w:color="auto" w:sz="0" w:space="0"/>
                <w:lang w:val="en-US"/>
              </w:rPr>
              <w:t>MCM/ICM</w:t>
            </w:r>
            <w:r>
              <w:rPr>
                <w:rFonts w:hint="eastAsia" w:ascii="宋体" w:hAnsi="宋体" w:eastAsia="宋体" w:cs="宋体"/>
                <w:kern w:val="0"/>
                <w:sz w:val="15"/>
                <w:szCs w:val="15"/>
                <w:bdr w:val="none" w:color="auto" w:sz="0" w:space="0"/>
              </w:rPr>
              <w:t>二等奖及以上。</w:t>
            </w:r>
          </w:p>
        </w:tc>
      </w:tr>
      <w:tr>
        <w:tblPrEx>
          <w:shd w:val="clear"/>
          <w:tblLayout w:type="fixed"/>
          <w:tblCellMar>
            <w:top w:w="0" w:type="dxa"/>
            <w:left w:w="84" w:type="dxa"/>
            <w:bottom w:w="0" w:type="dxa"/>
            <w:right w:w="84" w:type="dxa"/>
          </w:tblCellMar>
        </w:tblPrEx>
        <w:trPr>
          <w:trHeight w:val="4381" w:hRule="atLeast"/>
          <w:jc w:val="center"/>
        </w:trPr>
        <w:tc>
          <w:tcPr>
            <w:tcW w:w="516"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8"/>
                <w:szCs w:val="18"/>
                <w:bdr w:val="none" w:color="auto" w:sz="0" w:space="0"/>
                <w:lang w:val="en-US"/>
              </w:rPr>
              <w:t>10</w:t>
            </w:r>
          </w:p>
        </w:tc>
        <w:tc>
          <w:tcPr>
            <w:tcW w:w="9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学生</w:t>
            </w:r>
          </w:p>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工作处</w:t>
            </w:r>
          </w:p>
        </w:tc>
        <w:tc>
          <w:tcPr>
            <w:tcW w:w="94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专职</w:t>
            </w:r>
          </w:p>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辅导员</w:t>
            </w:r>
          </w:p>
        </w:tc>
        <w:tc>
          <w:tcPr>
            <w:tcW w:w="1068"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rPr>
              <w:t>不限</w:t>
            </w:r>
          </w:p>
        </w:tc>
        <w:tc>
          <w:tcPr>
            <w:tcW w:w="1044"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center"/>
              <w:rPr>
                <w:sz w:val="18"/>
                <w:szCs w:val="18"/>
              </w:rPr>
            </w:pPr>
            <w:r>
              <w:rPr>
                <w:rFonts w:hint="eastAsia" w:ascii="宋体" w:hAnsi="宋体" w:eastAsia="宋体" w:cs="宋体"/>
                <w:kern w:val="0"/>
                <w:sz w:val="15"/>
                <w:szCs w:val="15"/>
                <w:bdr w:val="none" w:color="auto" w:sz="0" w:space="0"/>
                <w:lang w:val="en-US"/>
              </w:rPr>
              <w:t>6</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rPr>
              <w:t>（其中，男性不少于</w:t>
            </w:r>
            <w:r>
              <w:rPr>
                <w:rFonts w:hint="eastAsia" w:ascii="宋体" w:hAnsi="宋体" w:eastAsia="宋体" w:cs="宋体"/>
                <w:kern w:val="0"/>
                <w:sz w:val="15"/>
                <w:szCs w:val="15"/>
                <w:bdr w:val="none" w:color="auto" w:sz="0" w:space="0"/>
                <w:lang w:val="en-US"/>
              </w:rPr>
              <w:t>4</w:t>
            </w:r>
            <w:r>
              <w:rPr>
                <w:rFonts w:hint="eastAsia" w:ascii="宋体" w:hAnsi="宋体" w:eastAsia="宋体" w:cs="宋体"/>
                <w:kern w:val="0"/>
                <w:sz w:val="15"/>
                <w:szCs w:val="15"/>
                <w:bdr w:val="none" w:color="auto" w:sz="0" w:space="0"/>
              </w:rPr>
              <w:t>名，要求入住男生公寓；女性不多于</w:t>
            </w: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rPr>
              <w:t>名，要求入住女生公寓）</w:t>
            </w:r>
          </w:p>
        </w:tc>
        <w:tc>
          <w:tcPr>
            <w:tcW w:w="4332"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20" w:lineRule="atLeast"/>
              <w:ind w:left="0" w:right="0"/>
              <w:jc w:val="left"/>
              <w:rPr>
                <w:sz w:val="18"/>
                <w:szCs w:val="18"/>
              </w:rPr>
            </w:pPr>
            <w:r>
              <w:rPr>
                <w:rFonts w:hint="eastAsia" w:ascii="宋体" w:hAnsi="宋体" w:eastAsia="宋体" w:cs="宋体"/>
                <w:kern w:val="0"/>
                <w:sz w:val="15"/>
                <w:szCs w:val="15"/>
                <w:bdr w:val="none" w:color="auto" w:sz="0" w:space="0"/>
                <w:lang w:val="en-US"/>
              </w:rPr>
              <w:t>1.</w:t>
            </w:r>
            <w:r>
              <w:rPr>
                <w:rFonts w:hint="eastAsia" w:ascii="宋体" w:hAnsi="宋体" w:eastAsia="宋体" w:cs="宋体"/>
                <w:kern w:val="0"/>
                <w:sz w:val="15"/>
                <w:szCs w:val="15"/>
                <w:bdr w:val="none" w:color="auto" w:sz="0" w:space="0"/>
              </w:rPr>
              <w:t>全日制应届毕业生，具有研究生学历及硕士以上学位，本科和研究生阶段就读高校均为全国重点大学。不接收各级学历中有在职专业学位、同等学历学位、定向、委培、成人教育及专升本情况的应聘人员。</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2.</w:t>
            </w:r>
            <w:r>
              <w:rPr>
                <w:rFonts w:hint="eastAsia" w:ascii="宋体" w:hAnsi="宋体" w:eastAsia="宋体" w:cs="宋体"/>
                <w:kern w:val="0"/>
                <w:sz w:val="15"/>
                <w:szCs w:val="15"/>
                <w:bdr w:val="none" w:color="auto" w:sz="0" w:space="0"/>
              </w:rPr>
              <w:t>中共党员，且本科期间入党。</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3.</w:t>
            </w:r>
            <w:r>
              <w:rPr>
                <w:rFonts w:hint="eastAsia" w:ascii="宋体" w:hAnsi="宋体" w:eastAsia="宋体" w:cs="宋体"/>
                <w:kern w:val="0"/>
                <w:sz w:val="15"/>
                <w:szCs w:val="15"/>
                <w:bdr w:val="none" w:color="auto" w:sz="0" w:space="0"/>
              </w:rPr>
              <w:t>学习期间担任过主要学生干部，品学兼优，获得过校级以上奖励或荣誉称号。主要学生干部包括：班长、团支书、学生会和党员工作站部长及以上学生干部、辅导员助理。</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4.</w:t>
            </w:r>
            <w:r>
              <w:rPr>
                <w:rFonts w:hint="eastAsia" w:ascii="宋体" w:hAnsi="宋体" w:eastAsia="宋体" w:cs="宋体"/>
                <w:kern w:val="0"/>
                <w:sz w:val="15"/>
                <w:szCs w:val="15"/>
                <w:bdr w:val="none" w:color="auto" w:sz="0" w:space="0"/>
              </w:rPr>
              <w:t>热爱辅导员工作，具有较高的思想政治觉悟和政策理论水平，具有良好的道德品质、强烈的事业心和责任感，组织协调能力和语言文字表达能力较强。</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5.</w:t>
            </w:r>
            <w:r>
              <w:rPr>
                <w:rFonts w:hint="eastAsia" w:ascii="宋体" w:hAnsi="宋体" w:eastAsia="宋体" w:cs="宋体"/>
                <w:kern w:val="0"/>
                <w:sz w:val="15"/>
                <w:szCs w:val="15"/>
                <w:bdr w:val="none" w:color="auto" w:sz="0" w:space="0"/>
              </w:rPr>
              <w:t>具有较强的计算机操作和应用能力，大学英语四级水平考试成绩</w:t>
            </w:r>
            <w:r>
              <w:rPr>
                <w:rFonts w:hint="eastAsia" w:ascii="宋体" w:hAnsi="宋体" w:eastAsia="宋体" w:cs="宋体"/>
                <w:kern w:val="0"/>
                <w:sz w:val="15"/>
                <w:szCs w:val="15"/>
                <w:bdr w:val="none" w:color="auto" w:sz="0" w:space="0"/>
                <w:lang w:val="en-US"/>
              </w:rPr>
              <w:t>425</w:t>
            </w:r>
            <w:r>
              <w:rPr>
                <w:rFonts w:hint="eastAsia" w:ascii="宋体" w:hAnsi="宋体" w:eastAsia="宋体" w:cs="宋体"/>
                <w:kern w:val="0"/>
                <w:sz w:val="15"/>
                <w:szCs w:val="15"/>
                <w:bdr w:val="none" w:color="auto" w:sz="0" w:space="0"/>
              </w:rPr>
              <w:t>分以上。</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6.</w:t>
            </w:r>
            <w:r>
              <w:rPr>
                <w:rFonts w:hint="eastAsia" w:ascii="宋体" w:hAnsi="宋体" w:eastAsia="宋体" w:cs="宋体"/>
                <w:kern w:val="0"/>
                <w:sz w:val="15"/>
                <w:szCs w:val="15"/>
                <w:bdr w:val="none" w:color="auto" w:sz="0" w:space="0"/>
              </w:rPr>
              <w:t>应届硕士毕业生须为</w:t>
            </w:r>
            <w:r>
              <w:rPr>
                <w:rFonts w:hint="eastAsia" w:ascii="宋体" w:hAnsi="宋体" w:eastAsia="宋体" w:cs="宋体"/>
                <w:kern w:val="0"/>
                <w:sz w:val="15"/>
                <w:szCs w:val="15"/>
                <w:bdr w:val="none" w:color="auto" w:sz="0" w:space="0"/>
                <w:lang w:val="en-US"/>
              </w:rPr>
              <w:t>1989</w:t>
            </w:r>
            <w:r>
              <w:rPr>
                <w:rFonts w:hint="eastAsia" w:ascii="宋体" w:hAnsi="宋体" w:eastAsia="宋体" w:cs="宋体"/>
                <w:kern w:val="0"/>
                <w:sz w:val="15"/>
                <w:szCs w:val="15"/>
                <w:bdr w:val="none" w:color="auto" w:sz="0" w:space="0"/>
              </w:rPr>
              <w:t>年</w:t>
            </w:r>
            <w:r>
              <w:rPr>
                <w:rFonts w:hint="eastAsia" w:ascii="宋体" w:hAnsi="宋体" w:eastAsia="宋体" w:cs="宋体"/>
                <w:kern w:val="0"/>
                <w:sz w:val="15"/>
                <w:szCs w:val="15"/>
                <w:bdr w:val="none" w:color="auto" w:sz="0" w:space="0"/>
                <w:lang w:val="en-US"/>
              </w:rPr>
              <w:t>12</w:t>
            </w:r>
            <w:r>
              <w:rPr>
                <w:rFonts w:hint="eastAsia" w:ascii="宋体" w:hAnsi="宋体" w:eastAsia="宋体" w:cs="宋体"/>
                <w:kern w:val="0"/>
                <w:sz w:val="15"/>
                <w:szCs w:val="15"/>
                <w:bdr w:val="none" w:color="auto" w:sz="0" w:space="0"/>
              </w:rPr>
              <w:t>月</w:t>
            </w:r>
            <w:r>
              <w:rPr>
                <w:rFonts w:hint="eastAsia" w:ascii="宋体" w:hAnsi="宋体" w:eastAsia="宋体" w:cs="宋体"/>
                <w:kern w:val="0"/>
                <w:sz w:val="15"/>
                <w:szCs w:val="15"/>
                <w:bdr w:val="none" w:color="auto" w:sz="0" w:space="0"/>
                <w:lang w:val="en-US"/>
              </w:rPr>
              <w:t>31</w:t>
            </w:r>
            <w:r>
              <w:rPr>
                <w:rFonts w:hint="eastAsia" w:ascii="宋体" w:hAnsi="宋体" w:eastAsia="宋体" w:cs="宋体"/>
                <w:kern w:val="0"/>
                <w:sz w:val="15"/>
                <w:szCs w:val="15"/>
                <w:bdr w:val="none" w:color="auto" w:sz="0" w:space="0"/>
              </w:rPr>
              <w:t>日以后出生，博士研究生年龄一般不超过</w:t>
            </w:r>
            <w:r>
              <w:rPr>
                <w:rFonts w:hint="eastAsia" w:ascii="宋体" w:hAnsi="宋体" w:eastAsia="宋体" w:cs="宋体"/>
                <w:kern w:val="0"/>
                <w:sz w:val="15"/>
                <w:szCs w:val="15"/>
                <w:bdr w:val="none" w:color="auto" w:sz="0" w:space="0"/>
                <w:lang w:val="en-US"/>
              </w:rPr>
              <w:t>33</w:t>
            </w:r>
            <w:r>
              <w:rPr>
                <w:rFonts w:hint="eastAsia" w:ascii="宋体" w:hAnsi="宋体" w:eastAsia="宋体" w:cs="宋体"/>
                <w:kern w:val="0"/>
                <w:sz w:val="15"/>
                <w:szCs w:val="15"/>
                <w:bdr w:val="none" w:color="auto" w:sz="0" w:space="0"/>
              </w:rPr>
              <w:t>周岁；参加过研究生支教团、西部志愿者等国家基层服务项目的应届毕业生或有过辅导员经历的年龄可适当放宽。</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7.</w:t>
            </w:r>
            <w:r>
              <w:rPr>
                <w:rFonts w:hint="eastAsia" w:ascii="宋体" w:hAnsi="宋体" w:eastAsia="宋体" w:cs="宋体"/>
                <w:kern w:val="0"/>
                <w:sz w:val="15"/>
                <w:szCs w:val="15"/>
                <w:bdr w:val="none" w:color="auto" w:sz="0" w:space="0"/>
              </w:rPr>
              <w:t>身体健康，五官端正，心理素质良好。</w:t>
            </w:r>
            <w:r>
              <w:rPr>
                <w:rFonts w:hint="eastAsia" w:ascii="宋体" w:hAnsi="宋体" w:eastAsia="宋体" w:cs="宋体"/>
                <w:kern w:val="0"/>
                <w:sz w:val="15"/>
                <w:szCs w:val="15"/>
                <w:bdr w:val="none" w:color="auto" w:sz="0" w:space="0"/>
                <w:lang w:val="en-US"/>
              </w:rPr>
              <w:br w:type="textWrapping"/>
            </w:r>
            <w:r>
              <w:rPr>
                <w:rFonts w:hint="eastAsia" w:ascii="宋体" w:hAnsi="宋体" w:eastAsia="宋体" w:cs="宋体"/>
                <w:kern w:val="0"/>
                <w:sz w:val="15"/>
                <w:szCs w:val="15"/>
                <w:bdr w:val="none" w:color="auto" w:sz="0" w:space="0"/>
                <w:lang w:val="en-US"/>
              </w:rPr>
              <w:t>8.</w:t>
            </w:r>
            <w:r>
              <w:rPr>
                <w:rFonts w:hint="eastAsia" w:ascii="宋体" w:hAnsi="宋体" w:eastAsia="宋体" w:cs="宋体"/>
                <w:kern w:val="0"/>
                <w:sz w:val="15"/>
                <w:szCs w:val="15"/>
                <w:bdr w:val="none" w:color="auto" w:sz="0" w:space="0"/>
              </w:rPr>
              <w:t>具有相关工作经验者或取得心理咨询师、职业指导师等相关资格证书者或具有徐海学院兼职辅导员工作经历者优先考虑。</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F90AB"/>
    <w:multiLevelType w:val="multilevel"/>
    <w:tmpl w:val="5A0F90A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65C82"/>
    <w:rsid w:val="1D95001F"/>
    <w:rsid w:val="2D2114A0"/>
    <w:rsid w:val="67BD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qFormat/>
    <w:uiPriority w:val="0"/>
    <w:rPr>
      <w:color w:val="800080"/>
      <w:u w:val="none"/>
    </w:rPr>
  </w:style>
  <w:style w:type="character" w:styleId="5">
    <w:name w:val="Emphasis"/>
    <w:basedOn w:val="3"/>
    <w:qFormat/>
    <w:uiPriority w:val="0"/>
  </w:style>
  <w:style w:type="character" w:styleId="6">
    <w:name w:val="Hyperlink"/>
    <w:basedOn w:val="3"/>
    <w:qFormat/>
    <w:uiPriority w:val="0"/>
    <w:rPr>
      <w:color w:val="0000FF"/>
      <w:u w:val="none"/>
    </w:rPr>
  </w:style>
  <w:style w:type="character" w:customStyle="1" w:styleId="8">
    <w:name w:val="item-name4"/>
    <w:basedOn w:val="3"/>
    <w:uiPriority w:val="0"/>
    <w:rPr>
      <w:bdr w:val="none" w:color="auto" w:sz="0" w:space="0"/>
    </w:rPr>
  </w:style>
  <w:style w:type="character" w:customStyle="1" w:styleId="9">
    <w:name w:val="item-name5"/>
    <w:basedOn w:val="3"/>
    <w:uiPriority w:val="0"/>
    <w:rPr>
      <w:bdr w:val="none" w:color="auto" w:sz="0" w:space="0"/>
    </w:rPr>
  </w:style>
  <w:style w:type="character" w:customStyle="1" w:styleId="10">
    <w:name w:val="pubdate-month"/>
    <w:basedOn w:val="3"/>
    <w:uiPriority w:val="0"/>
    <w:rPr>
      <w:color w:val="FFFFFF"/>
      <w:sz w:val="19"/>
      <w:szCs w:val="19"/>
      <w:shd w:val="clear" w:fill="CC0000"/>
    </w:rPr>
  </w:style>
  <w:style w:type="character" w:customStyle="1" w:styleId="11">
    <w:name w:val="pubdate-day"/>
    <w:basedOn w:val="3"/>
    <w:uiPriority w:val="0"/>
    <w:rPr>
      <w:shd w:val="clear" w:fill="F2F2F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可爱的小仙女</dc:creator>
  <cp:lastModifiedBy>可爱的小仙女</cp:lastModifiedBy>
  <dcterms:modified xsi:type="dcterms:W3CDTF">2017-11-18T02:02:23Z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