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09" w:type="dxa"/>
        <w:tblInd w:w="200" w:type="dxa"/>
        <w:tblBorders>
          <w:top w:val="none" w:color="000000" w:sz="3" w:space="0"/>
          <w:left w:val="none" w:color="000000" w:sz="3" w:space="0"/>
          <w:bottom w:val="none" w:color="000000" w:sz="3" w:space="0"/>
          <w:right w:val="none" w:color="000000" w:sz="3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331"/>
        <w:gridCol w:w="1010"/>
        <w:gridCol w:w="1488"/>
        <w:gridCol w:w="2021"/>
        <w:gridCol w:w="583"/>
      </w:tblGrid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序号</w:t>
            </w:r>
          </w:p>
        </w:tc>
        <w:tc>
          <w:tcPr>
            <w:tcW w:w="13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学历要求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专业类别</w:t>
            </w:r>
          </w:p>
        </w:tc>
        <w:tc>
          <w:tcPr>
            <w:tcW w:w="20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其他要求</w:t>
            </w:r>
          </w:p>
        </w:tc>
        <w:tc>
          <w:tcPr>
            <w:tcW w:w="5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会计岗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财务经济管理类专业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北京生源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海洋地质研究岗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海洋地质专业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生源不限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地质调查立法研究岗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法律、法规相关专业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专业基础知识扎实，文字功底好。生源不限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水工环规划研究岗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地质类专业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北京生源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项目管理研究岗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地质类专业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生源不限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地质资料收藏业务管理岗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地质学相关专业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本科、硕士均为地质学或相关专业，在校期间参加过基础地质调查或矿产勘查等工作项目者优先，生源不限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地质大数据管理与分析岗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信息技术类或数据库类等相关专业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有机器学习、深度学习等人工智能相关研究开发背景者优先，生源不限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境外信息开发利用岗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外语类专业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精通法语、西班牙语或德语之一，有留学经历者优先，北京生源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重磁技术研究岗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地球物理专业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北京生源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F7"/>
    <w:rsid w:val="00722642"/>
    <w:rsid w:val="00F556F7"/>
    <w:rsid w:val="697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2018-03-07T03:38:00Z</dcterms:created>
  <dc:creator>464477581@qq.com</dc:creator>
  <cp:lastModifiedBy>可爱的小仙女</cp:lastModifiedBy>
  <dcterms:modified xsi:type="dcterms:W3CDTF">2018-03-08T12:01:02Z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